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EE78A5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EE78A5" w:rsidRDefault="00EE78A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57694E" w:rsidRPr="004B772A" w:rsidRDefault="00EE78A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ATO </w:t>
      </w:r>
      <w:r w:rsidR="00A41284">
        <w:rPr>
          <w:b/>
          <w:noProof/>
          <w:lang w:eastAsia="pt-BR"/>
        </w:rPr>
        <w:t>EXECUTIVO CONJUNTO TJ/CGJ nº 2/1996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4B772A" w:rsidRDefault="00A4128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A41284">
        <w:rPr>
          <w:b/>
          <w:noProof/>
          <w:lang w:eastAsia="pt-BR"/>
        </w:rPr>
        <w:t>Dispõe sobre a instalação dos  Juizados  Especiais Criminais, sua vinculação e dá outras providências.</w:t>
      </w:r>
    </w:p>
    <w:p w:rsidR="004B772A" w:rsidRDefault="004B772A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A41284" w:rsidRPr="00E21CD3" w:rsidTr="00761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284" w:rsidRPr="00E21CD3" w:rsidRDefault="00A41284" w:rsidP="00761D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</w:tc>
      </w:tr>
      <w:tr w:rsidR="00A41284" w:rsidRPr="00E21CD3" w:rsidTr="00761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1284" w:rsidRPr="00E21CD3" w:rsidRDefault="00EE78A5" w:rsidP="00C9150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bookmarkStart w:id="0" w:name="_GoBack"/>
            <w:bookmarkEnd w:id="0"/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Com as alterações do Ato Executivo Conjunto nº </w:t>
            </w:r>
            <w:hyperlink r:id="rId6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09/97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, publicado no D.O. de 26.08.1997, Ato Executivo Conjunto nº </w:t>
            </w:r>
            <w:hyperlink r:id="rId7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010/97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, publicado no D.O. de 28.08.97, Ato Executivo nº </w:t>
            </w:r>
            <w:hyperlink r:id="rId8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845/97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, publicado no D.O. de 15.05.97, Ato Executivo nº </w:t>
            </w:r>
            <w:hyperlink r:id="rId9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865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, publicado no D.O. de 19.05.97, Ato Executivo nº </w:t>
            </w:r>
            <w:hyperlink r:id="rId10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1214/97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, publicado no D.O. de 07.07.97 e republicado no D.O. de 09.07.97, Ato Executivo nº </w:t>
            </w:r>
            <w:hyperlink r:id="rId11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1215/97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, publicado no D.O. de 07.07.97 e republicado no D.O. de 09.07.97, Ato Executivo nº </w:t>
            </w:r>
            <w:hyperlink r:id="rId12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2067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, publicado no D.O. de 26.11.97, Ato Executivo nº </w:t>
            </w:r>
            <w:hyperlink r:id="rId13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017/97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, publicado no D.O. de 18.12.97 e republicado no D.O. de 22.12.97, Ato Executivo Conjunto nº </w:t>
            </w:r>
            <w:hyperlink r:id="rId14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02/98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, publicado no D.O. de 29.01.98, Ato Executivo Conjunto nº </w:t>
            </w:r>
            <w:hyperlink r:id="rId15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04/98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, publicado no D.O. de 02.02.98.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O DESEMBARGADOR PRESIDENTE DO TRIBUNAL DE JUSTIÇA DO ESTADO DO RIO DE JANEIRO E O DESEMBARGADOR CORREGEDOR-GERAL DA JUSTIÇA DO ESTADO DO RIO DE JANEIRO, no uso de suas atribuições legais,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 xml:space="preserve">CONSIDERANDO que a </w:t>
            </w:r>
            <w:hyperlink r:id="rId16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Lei Estadual nº 2.556, de 21 de maio de 1996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confere ao Presidente do Tribunal de Justiça, enquanto não instalados os Juizados Especiais, a atribuição de fixar a competência territorial de cada órgão (art. 20, par. 2º), bem como a de designar Juízes Cíveis e Criminais, nas respectivas áreas de atuação, para processar e julgar as matérias de sua competência (art. 21);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 xml:space="preserve">CONSIDERANDO o esgotamento do prazo conferido aos Estados para a criação e instalação dos Juizados Especiais (art. 95 - </w:t>
            </w:r>
            <w:hyperlink r:id="rId17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Lei nº 9.099/95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);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CONSIDERANDO que a total aplicabilidade da Lei Federal nº 9.099/95, não deve ser afetada pela insuficiência de estrutura material para a instalação definitiva dos Juizados Especiais;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CONSIDERANDO a conveniência administrativa e jurisdicional de que todas as infrações penais de menor potencial ofensivo ocorridos em uma Região Administrativa sejam processados e julgados por um único Juízo;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CONSIDERANDO que é conveniente o aproveitamento da estrutura física e administrativa das varas criminais ou com competência criminal das Comarcas de primeira e algumas de segunda entrância para a instalação provisória dos Juizados Especiais;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CONSIDERANDO que, na forma do artigo 21 da Lei nº 2.556/96, enquanto não instalados os Juizados Especiais compete aos Juízes de Direito nas respectivas áreas de atuação, segunda designação da Presidência do Tribunal, processar e julgar as matérias de sua competência;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RESOLVEM: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Art. 1º - Ficam instalados os Juizados especiais Criminais criados pela Lei nº 2.556, de 21 de maio de 1996, cada um deles vinculado, provisoriamente, às Varas Criminais abaixo elencadas: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01) I Juizado Especial Criminal de Barra Mansa: vinculado à 2ª Vara Criminal de Barra Mansa;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02) I Juizado Especial Criminal de Belford Roxo: vinculado 2ª Vara de Belford Roxo;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03) I Juizado Especial Criminal de Campos de Goytacazes: vinculado à 2ª Vara Criminal de Campos de Goytacazes;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04) I Juizado Especial Criminal de Duque de Caxias: vinculado à 3ª Vara Criminal de Duque de Caxias;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05) II Juizado Especial Criminal de Duque de Caxias; vinculado à 5ª Vara Criminal de Duque de Caxias;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06) I Juizado Especial Criminal de Nilópolis: vinculado à 2ª Vara Criminal de Nilópolis;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07) I Juizado Especial Criminal de Niterói: vinculado à 4ª Vara Criminal de Niterói;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08) II Juizado Especial Criminal de Niterói: vinculado à 5ª Vara Criminal de Niterói;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09) I Juizado Especial Criminal de Nova Friburgo: vinculado à Vara Criminal de Nova Friburgo;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lastRenderedPageBreak/>
              <w:t>10) I Juizado Especial Criminal de Nova Iguaçu: vinculado à 6ª Vara Criminal de Nova Iguaçu;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11) II Juizado Especial Criminal de Nova Iguaçu: vinculado à 7ª Vara Criminal de Nova Iguaçu;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12) I Juizado Especial Criminal de Petrópolis: vinculado à 2ª Vara Criminal de Petrópolis;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13) I Juizado Especial Criminal de São Gonçalo: vinculado à 3ª Vara Criminal de São Gonçalo;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14) II Juizado Especial Criminal de São Gonçalo: vinculado à 5ª Vara Criminal de São Gonçalo;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15) I Juizado Especial Criminal de São João de Meriti: vinculado à 3ª Vara Criminal de São João de Meriti;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16) I Juizado Especial Criminal de Volta Redonda: vinculado à 2ª Vara Criminal de Volta Redonda. (Redação dada pelo Ato Executivo Conjunto TJ/CGJ nº 9, de 25/08/1997)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Par. 1º - Nos respectivos órgãos jurisdicionais serão destinados espaço físico e servidores especificamente para o processamento dos feitos dos referidos Juizados.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Par. 2º - O Juiz em exercício nas Varas mencionadas no caput deste artigo providenciará: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a) a designação, em entendimentos com a Presidência do Tribunal de Justiça e Corregedoria da Justiça, de data para a inauguração oficial do Juizado;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b) a indicação à Presidência do Tribunal de Justiça dos conciliadores que atuarão, provisoriamente, até o concurso de que trata o art. 12 da Lei nº 2.556/96;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c) a indicação à Corregedoria Geral da Justiça do número de servidores necessários para funcionamento do Juizado, até o provimento efetivo dos cargos.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Art. 2º - Ficam instalados os Juizados Especiais Adjuntos Criminais das seguintes Comarcas de segunda entrância,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abaixo relacionadas: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a) Angra dos Reis,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Araruama,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Barra do Piraí,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Bom Jesus do Itabapoana, Cachoeiras de Macacu, Itaguaí,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Itaperuna,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Maricá,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Paraíba do Sul,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Queimados, Resende,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Rio Bonito,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Santo Antônio de Pádua que,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provisoriamente,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atenderá também ao Município de Aperibé,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São Fidelis,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São João da Barra,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São Pedro da Aldeia,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Saquarema,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Valença e Vassouras. (Redação dada pelo Ato Executivo Conjunto TJ/CGJ nº 22, de 26/07/2002)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*Fica excluída do art. 2º, letra a, a comarca de Resende* (Excluída pelo Ato Executivo Conjunto TJ/CGJ nº 37, de 04/09/2002)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*Fica incluída no art. 2º, letra a, a comarca de Miracema* (Incluída pelo Ato Executivo Conjunto TJ/CGJ nº 47, de 22/10/2002)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*Fica excluída do Art. 2°, letra "a", a Comarca de Angra dos Reis* (Excluída pelo Ato Executivo Conjunto TJ/CGJ nº 2, de 10/01/2005)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b) Cabo Frio que,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provisoriamente,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atenderá ao Município de Armação dos Búzios; Macaé que, provisoriamente,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atenderá também ao Município de Carapebus,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Magé,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Resende,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Teresópolis. (Redação dada pelo Ato Executivo Conjunto TJ/CGJ nº 8, de 14/05/2001)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 xml:space="preserve">c) 2a. Vara de Vila Inhomirim - Comarca de Magé. (Redação dada pelo </w:t>
            </w:r>
            <w:hyperlink r:id="rId18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Ato Executivo Conjunto TJ/CGJ nº 8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, de 14/05/2001)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Art. 3º - Nas Comarcas de Juízo Único, abaixo relacionadas, os Juizados Especiais Adjuntos Criminais serão instalados junto ao próprio Juízo: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Arraial do Cabo; Bom Jardim; Cachoeiras de Macacu; Cambuci; Cantagalo; Carmo; Casimiro de Abreu; Conceição de Macabu; Cordeiro; Duas Barras; Engenheiro Paulo de Frontin; Guapimirim, Iguaba Grande,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Italva/Cardoso Moreira; Itaocara; Itatiaia, Laje do Muriaé; Mangaratiba; Mendes; Miguel Pereira; Miracema; Natividade que,</w:t>
            </w:r>
            <w:r w:rsidR="00A41284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>provisoriamente também atenderá ao Município de Varre-Sai; Paracambi; Paraty; Paty do Alferes; Pinheiral: Piraí; Porciúncula; Porto Real-Quatis; Rio Claro; Rio das Flores; Rio das Ostras; Santa Maria Madalena; São Francisco do Itabapoana; São José do Vale do Rio Preto; São Sebastião do Alto; Sapucaia; Silva Jardim; Sumidouro; Trajano de Moraes. (Redação dada Pelo Ato Executivo Conjunto TJ/CGJ nº 32, de 12/12/2001)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*Fica excluída do art. 3º, a comarca de Miracema* (Excluída pelo Ato Executivo Conjunto TJ/CGJ nº 47, de 22/10/2002)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*Fica incluída no art. 3º, a comarca de Armação de Búzios* (Incluída pelo Ato Executivo Conjunto TJ/CGJ nº 58, de 04/12/2002)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*Fica incluída no art. 3º, a comarca de Japeri* (Incluída pelo Ato Executivo Conjunto TJ/CGJ nº 32, de 22/05/2003)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 xml:space="preserve">*Fica incluída no art. 3º, a comarca de Carapebus/Quissamã* (Incluída pelo Ato Executivo Conjunto TJ/CGJ nº 47, de 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lastRenderedPageBreak/>
              <w:t>11/08/2003)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Art. 4º - Nas Comarcas mencionadas nos arts. 2º e 3º, o Juiz responsável pelos Juizados Especiais Adjuntos Criminais, procederá na forma prevista no parágrafo 1º do art. 1º deste ato, indicando, outrossim, os conciliadores que atuarão, provisoriamente junto ao respectivo Juizados.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 xml:space="preserve">Art. 5º - As distribuições dos feitos de natureza criminal relativos aos Juizados Especiais e Adjuntos Criminais obedecerão ao disposto na Resolução nº </w:t>
            </w:r>
            <w:hyperlink r:id="rId19" w:tgtFrame="_blank" w:history="1">
              <w:r w:rsidR="00A41284" w:rsidRPr="00E21CD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pt-BR"/>
                </w:rPr>
                <w:t>13/95</w:t>
              </w:r>
            </w:hyperlink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t xml:space="preserve"> da Corregedoria Geral da Justiça, no que lhes for aplicável.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Par. único - Na hipótese do par. 2º do art. 77 da Lei nº 9.099/95, após a baixa no Registro de Distribuição do Juizado, o termo circunstanciado deverá ser livremente distribuído nas comarcas onde houver mais de uma vara criminal exceptuando-se as varas criminais com competência exclusiva para o Júri, remetendo-se após, conforme o caso, o procedimento à Central de Inquéritos correspondente ou ao Representante do Ministério Público competente. O procedimento só voltará a Juízo nas situações previstas no art. 14 do Código de Normas da Corregedoria Geral da Justiça.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Art. 6º - Uma vez instalados definitivamente os Juizados Especiais Criminais, os processos, livros e servidores a eles vinculados serão imediatamente transferidos para as sedes novas.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Art. 7º - Nas Comarcas onde houver mais de uma vara com competência criminal poderá ser estabelecido rodízio mensal entre os Juízes de Direito para que se evite a sobrecarga do Juiz responsável pelo Juizado Especial Criminal.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Art. 8º - Os inquéritos policiais em tramitação que versem sobre infrações penais de menor potencial ofensivo, ocorridos antes da vigência da Lei Estadual nº 2.556/96, obedecerão ao disposto no art. 5º deste Ato Conjunto.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Art. 9º - Os serviços de Cartório e as audiências dos Juizados Especiais Criminais e Adjuntos Criminais ora instalados poderão ser realizados pelo Juiz Titular, ou Auxiliar, fora da sede oficial do Juizado, em sub-rede no mesmo Distrito ou em outros Distritos, ou ainda, em Municípios emancipados que ainda façam parte da mesma Comarca onde se situa a sede do Juizado, mediante autorização do Presidente do Tribunal.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  <w:t>Art. 10 - Este Ato entrará em vigor na data de sua publicação revogadas as disposições em contrário, devendo os Juizados Especiais e Adjuntos Criminais funcionar plenamente e de imediato.</w:t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  <w:r w:rsidR="00A41284" w:rsidRPr="00E21CD3"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  <w:br/>
            </w:r>
          </w:p>
        </w:tc>
      </w:tr>
    </w:tbl>
    <w:p w:rsidR="00A41284" w:rsidRDefault="00A41284" w:rsidP="00A41284"/>
    <w:p w:rsidR="004B4F7F" w:rsidRPr="00A41284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A41284">
        <w:rPr>
          <w:noProof/>
          <w:lang w:eastAsia="pt-BR"/>
        </w:rPr>
        <w:t>Este texto não substitui o publicado no Diário Oficial.</w:t>
      </w:r>
    </w:p>
    <w:p w:rsidR="00A41284" w:rsidRPr="00A41284" w:rsidRDefault="00A41284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A41284" w:rsidRPr="00A41284" w:rsidRDefault="00A41284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A41284">
        <w:rPr>
          <w:noProof/>
          <w:lang w:eastAsia="pt-BR"/>
        </w:rPr>
        <w:t>Texto compilado pelo DGCOM-DECCO-BIBLIO-SEIND em 28/08/2015</w:t>
      </w:r>
    </w:p>
    <w:p w:rsidR="00A41284" w:rsidRPr="00A41284" w:rsidRDefault="00A41284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A41284">
        <w:rPr>
          <w:noProof/>
          <w:lang w:eastAsia="pt-BR"/>
        </w:rPr>
        <w:t xml:space="preserve">cmp. </w:t>
      </w:r>
    </w:p>
    <w:sectPr w:rsidR="00A41284" w:rsidRPr="00A41284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113498"/>
    <w:rsid w:val="0017191E"/>
    <w:rsid w:val="004B4F7F"/>
    <w:rsid w:val="004B772A"/>
    <w:rsid w:val="0057694E"/>
    <w:rsid w:val="009307A1"/>
    <w:rsid w:val="00A41284"/>
    <w:rsid w:val="00A96694"/>
    <w:rsid w:val="00C9150B"/>
    <w:rsid w:val="00E03F1F"/>
    <w:rsid w:val="00EE78A5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E711"/>
  <w15:docId w15:val="{41CDDAD2-FE35-4F6B-842A-E9A0D20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farm.tjrj.jus.br/biblioteca/index.asp?codigo_sophia=135000&amp;integra=1" TargetMode="External"/><Relationship Id="rId13" Type="http://schemas.openxmlformats.org/officeDocument/2006/relationships/hyperlink" Target="http://webfarm.tjrj.jus.br/biblioteca/index.asp?codigo_sophia=140200&amp;integra=1" TargetMode="External"/><Relationship Id="rId18" Type="http://schemas.openxmlformats.org/officeDocument/2006/relationships/hyperlink" Target="http://webfarm.tjrj.jus.br/biblioteca/index.asp?codigo_sophia=140584&amp;integra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ebfarm.tjrj.jus.br/biblioteca/index.asp?codigo_sophia=140578&amp;integra=1" TargetMode="External"/><Relationship Id="rId12" Type="http://schemas.openxmlformats.org/officeDocument/2006/relationships/hyperlink" Target="http://webfarm.tjrj.jus.br/biblioteca/index.asp?codigo_sophia=135001&amp;integra=1" TargetMode="External"/><Relationship Id="rId17" Type="http://schemas.openxmlformats.org/officeDocument/2006/relationships/hyperlink" Target="http://www.planalto.gov.br/ccivil_03/Leis/L909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alerjln1.alerj.rj.gov.br/contlei.nsf/c8aa0900025feef6032564ec0060dfff/c3673b92b1caf6b6032564f8007cc6fc?OpenDocumen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ebfarm.tjrj.jus.br/biblioteca/index.asp?codigo_sophia=140391&amp;integra=1" TargetMode="External"/><Relationship Id="rId11" Type="http://schemas.openxmlformats.org/officeDocument/2006/relationships/hyperlink" Target="http://webfarm.tjrj.jus.br/biblioteca/index.asp?codigo_sophia=134563&amp;integra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ebfarm.tjrj.jus.br/biblioteca/index.asp?codigo_sophia=140522&amp;integra=1" TargetMode="External"/><Relationship Id="rId10" Type="http://schemas.openxmlformats.org/officeDocument/2006/relationships/hyperlink" Target="http://webfarm.tjrj.jus.br/biblioteca/index.asp?codigo_sophia=135108&amp;integra=1" TargetMode="External"/><Relationship Id="rId19" Type="http://schemas.openxmlformats.org/officeDocument/2006/relationships/hyperlink" Target="http://webfarm.tjrj.jus.br/biblioteca/index.asp?codigo_sophia=131433&amp;integ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farm.tjrj.jus.br/biblioteca/index.asp?codigo_sophia=134681&amp;integra=1" TargetMode="External"/><Relationship Id="rId14" Type="http://schemas.openxmlformats.org/officeDocument/2006/relationships/hyperlink" Target="http://webfarm.tjrj.jus.br/biblioteca/index.asp?codigo_sophia=140579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1827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4</cp:revision>
  <dcterms:created xsi:type="dcterms:W3CDTF">2015-08-28T20:06:00Z</dcterms:created>
  <dcterms:modified xsi:type="dcterms:W3CDTF">2018-07-25T15:53:00Z</dcterms:modified>
</cp:coreProperties>
</file>