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224B6" w:rsidRDefault="005224B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1E40A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  <w:bookmarkStart w:id="0" w:name="_GoBack"/>
      <w:bookmarkEnd w:id="0"/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224B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 TJ/VICE-PRESIDÊNCIA, 2  nº 4</w:t>
      </w:r>
      <w:r w:rsidR="004B772A">
        <w:rPr>
          <w:b/>
          <w:noProof/>
          <w:lang w:eastAsia="pt-BR"/>
        </w:rPr>
        <w:t>/2015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B4F7F" w:rsidRDefault="005224B6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5224B6">
        <w:rPr>
          <w:b/>
          <w:noProof/>
          <w:lang w:eastAsia="pt-BR"/>
        </w:rPr>
        <w:t>Consolida e disciplina as situações procedimentais que menciona no âmbito do Departamento de Autuação e Distribuição Criminal da Segunda Vice-Presidência do Tribunal de Just</w:t>
      </w:r>
      <w:r>
        <w:rPr>
          <w:b/>
          <w:noProof/>
          <w:lang w:eastAsia="pt-BR"/>
        </w:rPr>
        <w:t>iça do Estado do Rio de Janeiro</w:t>
      </w:r>
      <w:r w:rsidR="004B772A" w:rsidRPr="004B772A">
        <w:rPr>
          <w:b/>
          <w:noProof/>
          <w:lang w:eastAsia="pt-BR"/>
        </w:rPr>
        <w:t>.</w:t>
      </w:r>
    </w:p>
    <w:p w:rsidR="005224B6" w:rsidRDefault="005224B6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224B6" w:rsidRDefault="005224B6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224B6" w:rsidRDefault="005224B6" w:rsidP="005224B6">
      <w:pPr>
        <w:tabs>
          <w:tab w:val="center" w:pos="4419"/>
          <w:tab w:val="right" w:pos="8838"/>
        </w:tabs>
        <w:spacing w:after="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Poder Judiciário do Estado do Rio de Janeiro</w:t>
      </w:r>
      <w:r>
        <w:rPr>
          <w:rFonts w:ascii="Verdana" w:hAnsi="Verdana"/>
          <w:sz w:val="17"/>
          <w:szCs w:val="17"/>
        </w:rPr>
        <w:br/>
        <w:t>PORTARIA 2VP Nº 04/2015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Consolida e disciplina as situações procedimentais que menciona no âmbito do Departamento de Autuação e Distribuição Criminal da Segunda Vice-Presidência do Tribunal de Justiça do Estado do Rio de Janeiro.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 SEGUNDA VICE-PRESIDENTE DO TRIBUNAL DE JUSTIÇA DO ESTADO DO RIO DE JANEIRO, Desembargadora NILZA BITAR, no uso de suas atribuições legais, e com base no art. 19 da Lei de Organização e Divisão Judiciárias do Estado do Rio de Janeiro,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a necessidade de otimização das rotinas de trabalho desta Vice-Presidência;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os princípios constitucionais da eficiência da Administração Pública e da celeridade processual;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a existência de recursos e ações originárias que, dada a matéria tratada, impõem um procedimento mais célere, com urgência em sua autuação e distribuição;</w:t>
      </w:r>
      <w:r>
        <w:rPr>
          <w:rFonts w:ascii="Verdana" w:hAnsi="Verdana"/>
          <w:sz w:val="17"/>
          <w:szCs w:val="17"/>
        </w:rPr>
        <w:br/>
        <w:t>CONSIDERANDO as normas previstas no Regimento Interno do Tribunal de Justiça do Estado do Rio de Janeiro em relação à distribuição de feitos;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a existência de modificações supervenientes de dados de processos, mormente no que tange a </w:t>
      </w:r>
      <w:proofErr w:type="gramStart"/>
      <w:r>
        <w:rPr>
          <w:rFonts w:ascii="Verdana" w:hAnsi="Verdana"/>
          <w:sz w:val="17"/>
          <w:szCs w:val="17"/>
        </w:rPr>
        <w:t>seus</w:t>
      </w:r>
      <w:proofErr w:type="gramEnd"/>
      <w:r>
        <w:rPr>
          <w:rFonts w:ascii="Verdana" w:hAnsi="Verdana"/>
          <w:sz w:val="17"/>
          <w:szCs w:val="17"/>
        </w:rPr>
        <w:t xml:space="preserve"> </w:t>
      </w:r>
      <w:proofErr w:type="gramStart"/>
      <w:r>
        <w:rPr>
          <w:rFonts w:ascii="Verdana" w:hAnsi="Verdana"/>
          <w:sz w:val="17"/>
          <w:szCs w:val="17"/>
        </w:rPr>
        <w:t>personagens</w:t>
      </w:r>
      <w:proofErr w:type="gramEnd"/>
      <w:r>
        <w:rPr>
          <w:rFonts w:ascii="Verdana" w:hAnsi="Verdana"/>
          <w:sz w:val="17"/>
          <w:szCs w:val="17"/>
        </w:rPr>
        <w:t>, por ordem dos e. Desembargadores Relatores, em situações não pertinentes a erro originário por parte do Departamento de Autuação e Distribuição Criminal;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que, não se tratando de erro da unidade no lançamento dos dados, não lhe incumbe gerar novos Termos de Recebimento, Registro e Autuação e/ou Certidões de Prevenção;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que, caso o Departamento gere novas peças, tal situação, por comando do próprio sistema de informática, é identificada como retificação por erro, muito embora, repise-se, não tenha havido erro;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que, em virtude da certificação de qualidade ISO 9001:2008, a quantidade de erros deve ser estritamente controlada e a identificação de situações que não são erros como tal </w:t>
      </w:r>
      <w:proofErr w:type="gramStart"/>
      <w:r>
        <w:rPr>
          <w:rFonts w:ascii="Verdana" w:hAnsi="Verdana"/>
          <w:sz w:val="17"/>
          <w:szCs w:val="17"/>
        </w:rPr>
        <w:t>põem</w:t>
      </w:r>
      <w:proofErr w:type="gramEnd"/>
      <w:r>
        <w:rPr>
          <w:rFonts w:ascii="Verdana" w:hAnsi="Verdana"/>
          <w:sz w:val="17"/>
          <w:szCs w:val="17"/>
        </w:rPr>
        <w:t xml:space="preserve"> em risco a manutenção da certificação da unidade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CONSIDERANDO a norma contida no art. 7º e seus parágrafos do </w:t>
      </w:r>
      <w:hyperlink r:id="rId7" w:tgtFrame="_blank" w:history="1">
        <w:r>
          <w:rPr>
            <w:rStyle w:val="Hyperlink"/>
          </w:rPr>
          <w:t>Ato Normativo Conjunto nº 12</w:t>
        </w:r>
      </w:hyperlink>
      <w:r>
        <w:rPr>
          <w:rFonts w:ascii="Verdana" w:hAnsi="Verdana"/>
          <w:sz w:val="17"/>
          <w:szCs w:val="17"/>
        </w:rPr>
        <w:t>, de 15 de setembro de 2014;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CONSIDERANDO que, após o julgamento dos embargos infringentes interpostos, o Departamento precisa ser avisado para devolver às Câmaras Criminais o recurso originário, a fim de que seja providenciada a baixa à Vara de origem, fato que, muitas vezes, atrasa a prestação jurisdicional;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R E S O L V E: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lastRenderedPageBreak/>
        <w:br/>
        <w:t>Art. 1º. São considerados urgentes, para fins de prioridade na autuação e distribuição por parte do Departamento de Autuação e Distribuição Criminal (DECRI), os seguintes feitos: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I. </w:t>
      </w:r>
      <w:proofErr w:type="gramStart"/>
      <w:r>
        <w:rPr>
          <w:rFonts w:ascii="Verdana" w:hAnsi="Verdana"/>
          <w:sz w:val="17"/>
          <w:szCs w:val="17"/>
        </w:rPr>
        <w:t>ações</w:t>
      </w:r>
      <w:proofErr w:type="gramEnd"/>
      <w:r>
        <w:rPr>
          <w:rFonts w:ascii="Verdana" w:hAnsi="Verdana"/>
          <w:sz w:val="17"/>
          <w:szCs w:val="17"/>
        </w:rPr>
        <w:t xml:space="preserve"> de habeas corpus;</w:t>
      </w:r>
      <w:r>
        <w:rPr>
          <w:rFonts w:ascii="Verdana" w:hAnsi="Verdana"/>
          <w:sz w:val="17"/>
          <w:szCs w:val="17"/>
        </w:rPr>
        <w:br/>
        <w:t xml:space="preserve">II. </w:t>
      </w:r>
      <w:proofErr w:type="gramStart"/>
      <w:r>
        <w:rPr>
          <w:rFonts w:ascii="Verdana" w:hAnsi="Verdana"/>
          <w:sz w:val="17"/>
          <w:szCs w:val="17"/>
        </w:rPr>
        <w:t>mandados</w:t>
      </w:r>
      <w:proofErr w:type="gramEnd"/>
      <w:r>
        <w:rPr>
          <w:rFonts w:ascii="Verdana" w:hAnsi="Verdana"/>
          <w:sz w:val="17"/>
          <w:szCs w:val="17"/>
        </w:rPr>
        <w:t xml:space="preserve"> de segurança;</w:t>
      </w:r>
      <w:r>
        <w:rPr>
          <w:rFonts w:ascii="Verdana" w:hAnsi="Verdana"/>
          <w:sz w:val="17"/>
          <w:szCs w:val="17"/>
        </w:rPr>
        <w:br/>
        <w:t xml:space="preserve">III. </w:t>
      </w:r>
      <w:proofErr w:type="gramStart"/>
      <w:r>
        <w:rPr>
          <w:rFonts w:ascii="Verdana" w:hAnsi="Verdana"/>
          <w:sz w:val="17"/>
          <w:szCs w:val="17"/>
        </w:rPr>
        <w:t>medidas</w:t>
      </w:r>
      <w:proofErr w:type="gramEnd"/>
      <w:r>
        <w:rPr>
          <w:rFonts w:ascii="Verdana" w:hAnsi="Verdana"/>
          <w:sz w:val="17"/>
          <w:szCs w:val="17"/>
        </w:rPr>
        <w:t xml:space="preserve"> cautelares inominadas, com pedido de liminar;</w:t>
      </w:r>
      <w:r>
        <w:rPr>
          <w:rFonts w:ascii="Verdana" w:hAnsi="Verdana"/>
          <w:sz w:val="17"/>
          <w:szCs w:val="17"/>
        </w:rPr>
        <w:br/>
        <w:t xml:space="preserve">IV. </w:t>
      </w:r>
      <w:proofErr w:type="gramStart"/>
      <w:r>
        <w:rPr>
          <w:rFonts w:ascii="Verdana" w:hAnsi="Verdana"/>
          <w:sz w:val="17"/>
          <w:szCs w:val="17"/>
        </w:rPr>
        <w:t>incidentes</w:t>
      </w:r>
      <w:proofErr w:type="gramEnd"/>
      <w:r>
        <w:rPr>
          <w:rFonts w:ascii="Verdana" w:hAnsi="Verdana"/>
          <w:sz w:val="17"/>
          <w:szCs w:val="17"/>
        </w:rPr>
        <w:t xml:space="preserve"> de correição parcial;</w:t>
      </w:r>
      <w:r>
        <w:rPr>
          <w:rFonts w:ascii="Verdana" w:hAnsi="Verdana"/>
          <w:sz w:val="17"/>
          <w:szCs w:val="17"/>
        </w:rPr>
        <w:br/>
        <w:t>V. incidentes de desaforamento;</w:t>
      </w:r>
      <w:r>
        <w:rPr>
          <w:rFonts w:ascii="Verdana" w:hAnsi="Verdana"/>
          <w:sz w:val="17"/>
          <w:szCs w:val="17"/>
        </w:rPr>
        <w:br/>
        <w:t xml:space="preserve">VI. </w:t>
      </w:r>
      <w:proofErr w:type="gramStart"/>
      <w:r>
        <w:rPr>
          <w:rFonts w:ascii="Verdana" w:hAnsi="Verdana"/>
          <w:sz w:val="17"/>
          <w:szCs w:val="17"/>
        </w:rPr>
        <w:t>incidentes</w:t>
      </w:r>
      <w:proofErr w:type="gramEnd"/>
      <w:r>
        <w:rPr>
          <w:rFonts w:ascii="Verdana" w:hAnsi="Verdana"/>
          <w:sz w:val="17"/>
          <w:szCs w:val="17"/>
        </w:rPr>
        <w:t xml:space="preserve"> de reclamação;</w:t>
      </w:r>
      <w:r>
        <w:rPr>
          <w:rFonts w:ascii="Verdana" w:hAnsi="Verdana"/>
          <w:sz w:val="17"/>
          <w:szCs w:val="17"/>
        </w:rPr>
        <w:br/>
        <w:t xml:space="preserve">VII. </w:t>
      </w:r>
      <w:proofErr w:type="gramStart"/>
      <w:r>
        <w:rPr>
          <w:rFonts w:ascii="Verdana" w:hAnsi="Verdana"/>
          <w:sz w:val="17"/>
          <w:szCs w:val="17"/>
        </w:rPr>
        <w:t>agravos</w:t>
      </w:r>
      <w:proofErr w:type="gramEnd"/>
      <w:r>
        <w:rPr>
          <w:rFonts w:ascii="Verdana" w:hAnsi="Verdana"/>
          <w:sz w:val="17"/>
          <w:szCs w:val="17"/>
        </w:rPr>
        <w:t xml:space="preserve"> de instrumento da Lei n. 8.069/90;</w:t>
      </w:r>
      <w:r>
        <w:rPr>
          <w:rFonts w:ascii="Verdana" w:hAnsi="Verdana"/>
          <w:sz w:val="17"/>
          <w:szCs w:val="17"/>
        </w:rPr>
        <w:br/>
        <w:t xml:space="preserve">VIII. </w:t>
      </w:r>
      <w:proofErr w:type="gramStart"/>
      <w:r>
        <w:rPr>
          <w:rFonts w:ascii="Verdana" w:hAnsi="Verdana"/>
          <w:sz w:val="17"/>
          <w:szCs w:val="17"/>
        </w:rPr>
        <w:t>agravos</w:t>
      </w:r>
      <w:proofErr w:type="gramEnd"/>
      <w:r>
        <w:rPr>
          <w:rFonts w:ascii="Verdana" w:hAnsi="Verdana"/>
          <w:sz w:val="17"/>
          <w:szCs w:val="17"/>
        </w:rPr>
        <w:t xml:space="preserve"> de instrumento, com pedido de atribuição de efeito suspensivo ou de liminar.</w:t>
      </w:r>
      <w:r>
        <w:rPr>
          <w:rFonts w:ascii="Verdana" w:hAnsi="Verdana"/>
          <w:sz w:val="17"/>
          <w:szCs w:val="17"/>
        </w:rPr>
        <w:br/>
        <w:t>§ 1º. As distribuições dos feitos urgentes ocorrerão de segunda a sexta-feira, às 11h30min, 13h, 14h30min, 16h e 17h.</w:t>
      </w:r>
      <w:r>
        <w:rPr>
          <w:rFonts w:ascii="Verdana" w:hAnsi="Verdana"/>
          <w:sz w:val="17"/>
          <w:szCs w:val="17"/>
        </w:rPr>
        <w:br/>
        <w:t>§ 2º. As distribuições dos feitos não urgentes acontecerão de segunda a sexta-feira às 15 horas.</w:t>
      </w:r>
      <w:r>
        <w:rPr>
          <w:rFonts w:ascii="Verdana" w:hAnsi="Verdana"/>
          <w:sz w:val="17"/>
          <w:szCs w:val="17"/>
        </w:rPr>
        <w:br/>
        <w:t>§ 3º. Os feitos urgentes serão autuados e distribuídos obedecendo estritamente à ordem de entrada no DECRI, não sendo admitido</w:t>
      </w:r>
      <w:r>
        <w:rPr>
          <w:rFonts w:ascii="Verdana" w:hAnsi="Verdana"/>
          <w:sz w:val="17"/>
          <w:szCs w:val="17"/>
        </w:rPr>
        <w:br/>
        <w:t>qualquer pedido de preferência.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2º. </w:t>
      </w:r>
      <w:proofErr w:type="gramStart"/>
      <w:r>
        <w:rPr>
          <w:rFonts w:ascii="Verdana" w:hAnsi="Verdana"/>
          <w:sz w:val="17"/>
          <w:szCs w:val="17"/>
        </w:rPr>
        <w:t>Serão</w:t>
      </w:r>
      <w:proofErr w:type="gramEnd"/>
      <w:r>
        <w:rPr>
          <w:rFonts w:ascii="Verdana" w:hAnsi="Verdana"/>
          <w:sz w:val="17"/>
          <w:szCs w:val="17"/>
        </w:rPr>
        <w:t xml:space="preserve"> objeto de redistribuição imediata apenas as ações de habeas corpus (art. 27, caput, do </w:t>
      </w:r>
      <w:hyperlink r:id="rId8" w:tgtFrame="_blank" w:history="1">
        <w:r>
          <w:rPr>
            <w:rStyle w:val="Hyperlink"/>
          </w:rPr>
          <w:t>Regimento Interno do Tribunal</w:t>
        </w:r>
      </w:hyperlink>
      <w:r>
        <w:rPr>
          <w:rFonts w:ascii="Verdana" w:hAnsi="Verdana"/>
          <w:sz w:val="17"/>
          <w:szCs w:val="17"/>
        </w:rPr>
        <w:t>), ou os recursos e ações originárias com pedido de liminar ou efeito suspensivo não apreciado por seu relator originário. Parágrafo único. Demais casos de redistribuição somente poderão ser feitos em consonância com o previsto no art. 27, § 2º, do Regimento Interno do Tribunal.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3º. Nos Embargos de Declaração, sendo vencido o relator originário do feito e estando afastado em definitivo do Tribunal o Desembargador a quem se atribuiu a redação do acórdão baseado no voto condutor, mas não aquele, lavrará o acórdão o primeiro vogal que tiver votado de acordo com o redator do acórdão embargado e que tampouco esteja afastado em definitivo do Tribunal.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1º. A ocorrência das hipóteses do presente artigo não implicará a redistribuição do feito, mas apenas a designação de novo redator para o acórdão, permanecendo o Relator originário na qualidade de vencido.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2º. Não figuradas tais hipóteses, funcionará como redator do acórdão dos Embargos de Declaração um dos demais Desembargadores integrantes do órgão fracionário prevento, mediante redistribuição.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 xml:space="preserve">Art. 4º. Aplicam-se as normas do art. 29, § 2º, do Regimento Interno do Tribunal, e do art. 3º desta Portaria, no que couber, para os casos do </w:t>
      </w:r>
      <w:proofErr w:type="spellStart"/>
      <w:r>
        <w:rPr>
          <w:rFonts w:ascii="Verdana" w:hAnsi="Verdana"/>
          <w:sz w:val="17"/>
          <w:szCs w:val="17"/>
        </w:rPr>
        <w:t>arts</w:t>
      </w:r>
      <w:proofErr w:type="spellEnd"/>
      <w:r>
        <w:rPr>
          <w:rFonts w:ascii="Verdana" w:hAnsi="Verdana"/>
          <w:sz w:val="17"/>
          <w:szCs w:val="17"/>
        </w:rPr>
        <w:t xml:space="preserve">. 543-B, § 3º, e 543-C, § 7º, ambos do </w:t>
      </w:r>
      <w:hyperlink r:id="rId9" w:tgtFrame="_blank" w:history="1">
        <w:r>
          <w:rPr>
            <w:rStyle w:val="Hyperlink"/>
          </w:rPr>
          <w:t>CPC</w:t>
        </w:r>
      </w:hyperlink>
      <w:r>
        <w:rPr>
          <w:rFonts w:ascii="Verdana" w:hAnsi="Verdana"/>
          <w:sz w:val="17"/>
          <w:szCs w:val="17"/>
        </w:rPr>
        <w:t xml:space="preserve">, bem como para as hipóteses de ordem de Tribunal Superior para </w:t>
      </w:r>
      <w:proofErr w:type="spellStart"/>
      <w:r>
        <w:rPr>
          <w:rFonts w:ascii="Verdana" w:hAnsi="Verdana"/>
          <w:sz w:val="17"/>
          <w:szCs w:val="17"/>
        </w:rPr>
        <w:t>rejulgamento</w:t>
      </w:r>
      <w:proofErr w:type="spellEnd"/>
      <w:r>
        <w:rPr>
          <w:rFonts w:ascii="Verdana" w:hAnsi="Verdana"/>
          <w:sz w:val="17"/>
          <w:szCs w:val="17"/>
        </w:rPr>
        <w:t xml:space="preserve"> de feitos.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5º. O DECRI procederá à retificação apenas dos dados originalmente inseridos de forma equivocada no sistema informatizado do Tribunal.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1º. Eventuais atualizações de tais dados concernentes a substabelecimentos com ou sem reserva de poderes, renúncias de mandato, sucessões e/ou substituições processuais, assim como a inclusão e/ou exclusão de outras partes componentes da relação processual não são de incumbência do referido Departamento.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2º. Tampouco é atribuição do Departamento a renumeração e ordenação de peças e/ou volumes em duplicidade de processo eletrônico que já tenha sido autuado e distribuído.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§ 3º. Feitos que se encontrem nas hipóteses dos parágrafos anteriores e que tenham sido remetidos ao DECRI serão devolvidos, de ordem, à Secretaria de órgão julgador remetente, para as providências pertinentes.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 w:rsidRPr="005224B6">
        <w:rPr>
          <w:rFonts w:ascii="Verdana" w:hAnsi="Verdana"/>
          <w:b/>
          <w:sz w:val="17"/>
          <w:szCs w:val="17"/>
        </w:rPr>
        <w:t>*</w:t>
      </w:r>
      <w:r>
        <w:rPr>
          <w:rFonts w:ascii="Verdana" w:hAnsi="Verdana"/>
          <w:sz w:val="17"/>
          <w:szCs w:val="17"/>
        </w:rPr>
        <w:t xml:space="preserve"> </w:t>
      </w:r>
      <w:r w:rsidRPr="005224B6">
        <w:rPr>
          <w:rFonts w:ascii="Verdana" w:hAnsi="Verdana"/>
          <w:sz w:val="17"/>
          <w:szCs w:val="17"/>
        </w:rPr>
        <w:t xml:space="preserve">Art. 6º. </w:t>
      </w:r>
      <w:r w:rsidRPr="005224B6">
        <w:rPr>
          <w:rFonts w:ascii="Verdana" w:hAnsi="Verdana"/>
          <w:b/>
          <w:sz w:val="17"/>
          <w:szCs w:val="17"/>
        </w:rPr>
        <w:t>*</w:t>
      </w:r>
      <w:r>
        <w:rPr>
          <w:rFonts w:ascii="Verdana" w:hAnsi="Verdana"/>
          <w:sz w:val="17"/>
          <w:szCs w:val="17"/>
        </w:rPr>
        <w:t xml:space="preserve"> Revogado pela </w:t>
      </w:r>
      <w:hyperlink r:id="rId10" w:tgtFrame="_blank" w:history="1">
        <w:r>
          <w:rPr>
            <w:rStyle w:val="Hyperlink"/>
          </w:rPr>
          <w:t>Portaria TJ/VICE-PRESIDÊNCIA, 2 nº 6</w:t>
        </w:r>
      </w:hyperlink>
      <w:r>
        <w:rPr>
          <w:rFonts w:ascii="Verdana" w:hAnsi="Verdana"/>
          <w:sz w:val="17"/>
          <w:szCs w:val="17"/>
        </w:rPr>
        <w:t>, de 28/09/2015.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Art. 7º. A presente Portaria entrará em vigor na data de sua publicação, revogadas as disposições em contrário.</w:t>
      </w:r>
      <w:r>
        <w:rPr>
          <w:rFonts w:ascii="Verdana" w:hAnsi="Verdana"/>
          <w:sz w:val="17"/>
          <w:szCs w:val="17"/>
        </w:rPr>
        <w:br/>
        <w:t>Rio de Janeiro, 31 de julho de 2015</w:t>
      </w:r>
      <w:r>
        <w:rPr>
          <w:rFonts w:ascii="Verdana" w:hAnsi="Verdana"/>
          <w:sz w:val="17"/>
          <w:szCs w:val="17"/>
        </w:rPr>
        <w:br/>
        <w:t>Desembargadora NILZA BITAR</w:t>
      </w:r>
      <w:r>
        <w:rPr>
          <w:rFonts w:ascii="Verdana" w:hAnsi="Verdana"/>
          <w:sz w:val="17"/>
          <w:szCs w:val="17"/>
        </w:rPr>
        <w:br/>
        <w:t xml:space="preserve">Segunda </w:t>
      </w:r>
      <w:proofErr w:type="gramStart"/>
      <w:r>
        <w:rPr>
          <w:rFonts w:ascii="Verdana" w:hAnsi="Verdana"/>
          <w:sz w:val="17"/>
          <w:szCs w:val="17"/>
        </w:rPr>
        <w:t>Vice-Presidente</w:t>
      </w:r>
      <w:proofErr w:type="gramEnd"/>
    </w:p>
    <w:p w:rsidR="004B772A" w:rsidRDefault="005224B6" w:rsidP="005224B6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Este texto não substitui o publicado no Diário Oficial.</w:t>
      </w:r>
    </w:p>
    <w:p w:rsidR="004B772A" w:rsidRDefault="004B772A" w:rsidP="005224B6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4F7F" w:rsidRDefault="004B4F7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sectPr w:rsidR="004B4F7F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1E40AE"/>
    <w:rsid w:val="004B4F7F"/>
    <w:rsid w:val="004B772A"/>
    <w:rsid w:val="005224B6"/>
    <w:rsid w:val="0057694E"/>
    <w:rsid w:val="009307A1"/>
    <w:rsid w:val="00A96694"/>
    <w:rsid w:val="00E03F1F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224B6"/>
    <w:rPr>
      <w:rFonts w:ascii="Verdana" w:hAnsi="Verdana" w:hint="default"/>
      <w:color w:val="0000FF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224B6"/>
    <w:rPr>
      <w:rFonts w:ascii="Verdana" w:hAnsi="Verdana" w:hint="default"/>
      <w:color w:val="0000FF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39879&amp;integra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farm.tjrj.jus.br/biblioteca/index.asp?codigo_sophia=181951&amp;integra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farm.tjrj.jus.br/biblioteca/index.asp?codigo_sophia=123392&amp;integr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5869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5591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2015-09-30T21:16:00Z</dcterms:created>
  <dcterms:modified xsi:type="dcterms:W3CDTF">2015-09-30T21:16:00Z</dcterms:modified>
</cp:coreProperties>
</file>