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B8107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B81075" w:rsidRDefault="00B8107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B81075">
        <w:rPr>
          <w:b/>
          <w:noProof/>
          <w:color w:val="FF0000"/>
          <w:lang w:eastAsia="pt-BR"/>
        </w:rPr>
        <w:t>TEXTO COMPILADO</w:t>
      </w:r>
    </w:p>
    <w:p w:rsidR="00B81075" w:rsidRDefault="00B8107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F04E4A" w:rsidRDefault="00B8107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RESOLUÇÃO</w:t>
      </w:r>
      <w:r w:rsidR="00F04E4A" w:rsidRPr="00F04E4A">
        <w:rPr>
          <w:rFonts w:ascii="Arial" w:hAnsi="Arial" w:cs="Arial"/>
          <w:b/>
          <w:noProof/>
          <w:lang w:eastAsia="pt-BR"/>
        </w:rPr>
        <w:t xml:space="preserve"> TJ/OE </w:t>
      </w:r>
      <w:r>
        <w:rPr>
          <w:rFonts w:ascii="Arial" w:hAnsi="Arial" w:cs="Arial"/>
          <w:b/>
          <w:noProof/>
          <w:lang w:eastAsia="pt-BR"/>
        </w:rPr>
        <w:t xml:space="preserve">nº </w:t>
      </w:r>
      <w:r w:rsidR="00F04E4A" w:rsidRPr="00F04E4A">
        <w:rPr>
          <w:rFonts w:ascii="Arial" w:hAnsi="Arial" w:cs="Arial"/>
          <w:b/>
          <w:noProof/>
          <w:lang w:eastAsia="pt-BR"/>
        </w:rPr>
        <w:t>19</w:t>
      </w:r>
      <w:r w:rsidR="0057694E" w:rsidRPr="00F04E4A">
        <w:rPr>
          <w:rFonts w:ascii="Arial" w:hAnsi="Arial" w:cs="Arial"/>
          <w:b/>
          <w:noProof/>
          <w:lang w:eastAsia="pt-BR"/>
        </w:rPr>
        <w:t>/20</w:t>
      </w:r>
      <w:r>
        <w:rPr>
          <w:rFonts w:ascii="Arial" w:hAnsi="Arial" w:cs="Arial"/>
          <w:b/>
          <w:noProof/>
          <w:lang w:eastAsia="pt-BR"/>
        </w:rPr>
        <w:t>0</w:t>
      </w:r>
      <w:r w:rsidR="0057694E" w:rsidRPr="00F04E4A">
        <w:rPr>
          <w:rFonts w:ascii="Arial" w:hAnsi="Arial" w:cs="Arial"/>
          <w:b/>
          <w:noProof/>
          <w:lang w:eastAsia="pt-BR"/>
        </w:rPr>
        <w:t>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Pr="00B81075" w:rsidRDefault="00F04E4A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sz w:val="20"/>
          <w:szCs w:val="20"/>
          <w:lang w:eastAsia="pt-BR"/>
        </w:rPr>
      </w:pPr>
      <w:r w:rsidRPr="00B8107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Consolida a estrutura organizacional do Poder Judiciário do Estado do Rio de Janeiro, define as atribuições administrativas de suas  respectivas unidades, estabelece a lotação de seus cargos  comissionados e funções gratificadas, e dá outras providências</w:t>
      </w:r>
      <w:r w:rsidR="00016804" w:rsidRPr="00B8107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.</w:t>
      </w: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04E4A" w:rsidRDefault="00F04E4A" w:rsidP="00B81075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  <w:bookmarkStart w:id="0" w:name="_GoBack"/>
      <w:bookmarkEnd w:id="0"/>
      <w:r>
        <w:rPr>
          <w:rFonts w:ascii="Verdana" w:hAnsi="Verdana"/>
          <w:sz w:val="17"/>
          <w:szCs w:val="17"/>
        </w:rPr>
        <w:br/>
        <w:t xml:space="preserve">O ÓRGÃO ESPECIAL do Tribunal de Justiça do Estado do Rio de Janeiro, no exercício das atribuições administrativas a que se refere o art. 93, XI, in fine, da </w:t>
      </w:r>
      <w:hyperlink r:id="rId6" w:tgtFrame="_blank" w:history="1">
        <w:r>
          <w:rPr>
            <w:rStyle w:val="Hyperlink"/>
          </w:rPr>
          <w:t>Constituição Federal</w:t>
        </w:r>
      </w:hyperlink>
      <w:r>
        <w:rPr>
          <w:rFonts w:ascii="Verdana" w:hAnsi="Verdana"/>
          <w:sz w:val="17"/>
          <w:szCs w:val="17"/>
        </w:rPr>
        <w:t xml:space="preserve"> de 1988;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que o desenvolvimento e 3 expansão das atividades do Poder Judiciário do Estado do Rio de Janeiro pressupõem a modernização de sua Estrutura Organizacional, de modo a cumprir com adequação os princípios da eficiência e da autonomia, a que aludem os artigos 37, caput, e 99, caput da Constituição da República, com a redação da </w:t>
      </w:r>
      <w:hyperlink r:id="rId7" w:tgtFrame="_blank" w:history="1">
        <w:r>
          <w:rPr>
            <w:rStyle w:val="Hyperlink"/>
          </w:rPr>
          <w:t>Emenda Constitucional n° 19/98</w:t>
        </w:r>
      </w:hyperlink>
      <w:r>
        <w:rPr>
          <w:rFonts w:ascii="Verdana" w:hAnsi="Verdana"/>
          <w:sz w:val="17"/>
          <w:szCs w:val="17"/>
        </w:rPr>
        <w:t xml:space="preserve"> 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que a </w:t>
      </w:r>
      <w:hyperlink r:id="rId8" w:tgtFrame="_blank" w:history="1">
        <w:r>
          <w:rPr>
            <w:rStyle w:val="Hyperlink"/>
          </w:rPr>
          <w:t>Resolução n° 15</w:t>
        </w:r>
      </w:hyperlink>
      <w:r>
        <w:rPr>
          <w:rFonts w:ascii="Verdana" w:hAnsi="Verdana"/>
          <w:sz w:val="17"/>
          <w:szCs w:val="17"/>
        </w:rPr>
        <w:t xml:space="preserve"> , de 08/12/2003, do Órgão Especial, aprovou a Estrutura Organizacional do Poder Judiciário do Estado do Rio de Janeiro com as atribuições básicas de cada unidade organizacional;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que a </w:t>
      </w:r>
      <w:hyperlink r:id="rId9" w:tgtFrame="_blank" w:history="1">
        <w:r>
          <w:rPr>
            <w:rStyle w:val="Hyperlink"/>
          </w:rPr>
          <w:t>Resolução n° 03</w:t>
        </w:r>
      </w:hyperlink>
      <w:r>
        <w:rPr>
          <w:rFonts w:ascii="Verdana" w:hAnsi="Verdana"/>
          <w:sz w:val="17"/>
          <w:szCs w:val="17"/>
        </w:rPr>
        <w:t xml:space="preserve"> , de 04/03/2004, do Órgão Especial, estabeleceu medidas e autorizou providências para a implantação da Estrutura Organizacional aprovada pela Resolução n° 15/2003;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que Resolução n° 15/2003 previu, em seu art. 5°, que o quantitativo final de cargos em comissão e funções gratificadas de cada unidade organizacional seria fixado pelo Órgão Especial, após a modelagem dos processos de trabalho pertinentes a cada Serviço da Estrutura Organizacional;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que foram concluídos os estatutos sobre o quantitativo final daqueles cargos comissionados e funções gratificadas, bem como a avaliação e o desdobramento da Estrutura Organizacional até o nível de Serviço, de modo a cumprir a previsão da Resolução n° 15/2003 e a introduzir os necessários aperfeiçoamentos na referida Estrutura;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RESOLVE: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1° - Consolidar a Estrutura Organizacional do Poder Judiciário do Estado do Rio de Janeiro, definidas as atribuições de cada unidade organizacional até o nível de Serviço, consoante o disposto no Anexo XXXV desta Resolução, em correspondência aos organogramas estabelecidos nos Anexo I a XV.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Art.2° - Aprovar o quantitativo final de cargos em comissão e funções gratificadas de cada unidade organizacional, sem aumento de despesa, relacionados nos Anexos XVI a XXXI.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3° - Aprovar a criação da função gratificada de síndico de Foro, consoante relacionado no Anexo XXXII, com as atribuições básicas de auxiliar o Juiz Diretor do Foro no atendimento à: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I - demanda por serviços de apoio predial;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II - fiscalização da execução de contrato de manutenção predial;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III - manutenção da apresentação e da limpeza das instalações;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IV - apresentação das necessidades de materiais e serviços, que integrarão a proposta orçamentária anual;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V - elaboração de projetos básicos para a instrução de procedimentos licitatórios ou de contratação </w:t>
      </w:r>
      <w:proofErr w:type="spellStart"/>
      <w:r>
        <w:rPr>
          <w:rFonts w:ascii="Verdana" w:hAnsi="Verdana"/>
          <w:sz w:val="17"/>
          <w:szCs w:val="17"/>
        </w:rPr>
        <w:t>contratação</w:t>
      </w:r>
      <w:proofErr w:type="spellEnd"/>
      <w:r>
        <w:rPr>
          <w:rFonts w:ascii="Verdana" w:hAnsi="Verdana"/>
          <w:sz w:val="17"/>
          <w:szCs w:val="17"/>
        </w:rPr>
        <w:t xml:space="preserve"> direta de serviços de apoio predial e suporte operacional;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lastRenderedPageBreak/>
        <w:br/>
        <w:t>VI - comunicação com a Divisão de Apoio a Foros Regionais e do Interior, da Diretoria Geral de Logística, quanto a pleitos que ultrapassarem a disponibilidade de recursos locais.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 w:rsidRPr="00F04E4A">
        <w:rPr>
          <w:rFonts w:ascii="Verdana" w:hAnsi="Verdana"/>
          <w:b/>
          <w:sz w:val="17"/>
          <w:szCs w:val="17"/>
        </w:rPr>
        <w:t>* Art.4° *</w:t>
      </w:r>
      <w:r>
        <w:rPr>
          <w:rFonts w:ascii="Verdana" w:hAnsi="Verdana"/>
          <w:sz w:val="17"/>
          <w:szCs w:val="17"/>
        </w:rPr>
        <w:t xml:space="preserve"> (Revogado pela </w:t>
      </w:r>
      <w:hyperlink r:id="rId10" w:tgtFrame="_blank" w:history="1">
        <w:r>
          <w:rPr>
            <w:rStyle w:val="Hyperlink"/>
          </w:rPr>
          <w:t>Resolução TJ/OE n. 22</w:t>
        </w:r>
      </w:hyperlink>
      <w:r>
        <w:rPr>
          <w:rFonts w:ascii="Verdana" w:hAnsi="Verdana"/>
          <w:sz w:val="17"/>
          <w:szCs w:val="17"/>
        </w:rPr>
        <w:t xml:space="preserve">, de 20/09/2010)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Art.5° - Determinar que a implementação da Estrutura Organizacional consolidada observe as prioridades e a disponibilidade financeira que forem definidas pelo Presidente do Tribunal de Justiça ou pelo Corregedor-Geral da Justiça, no âmbito de suas respectivas atribuições, ouvida a Comissão de Gestão Estratégica do Poder Judiciário.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Parágrafo único - A Estrutura Organizacional das Vice-Presidências, na parte não tratada pela consolidação aprovada por esta Resolução, será Objeto de projeto específico a ser proposto pelos três Vice-Presidentes a este Órgão Especial até 31 de março de 2005.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6° - A presente Resolução entrará em vigor na data de sua publicação, revogadas as disposições em contrario.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hyperlink r:id="rId11" w:tgtFrame="_blank" w:history="1">
        <w:r>
          <w:rPr>
            <w:rStyle w:val="Hyperlink"/>
          </w:rPr>
          <w:t>ANEXO</w:t>
        </w:r>
      </w:hyperlink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4"/>
          <w:szCs w:val="14"/>
        </w:rPr>
        <w:t>(Clique para visualizar o conteúdo.)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Este texto não substitui o publicado no Diário Oficial.</w:t>
      </w:r>
    </w:p>
    <w:sectPr w:rsidR="00F04E4A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57694E"/>
    <w:rsid w:val="006D6661"/>
    <w:rsid w:val="009307A1"/>
    <w:rsid w:val="00A96694"/>
    <w:rsid w:val="00B81075"/>
    <w:rsid w:val="00F04E4A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DD08"/>
  <w15:docId w15:val="{3C8B4BF1-2CBA-44DB-9EB3-ADC24F5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4E4A"/>
    <w:rPr>
      <w:rFonts w:ascii="Verdana" w:hAnsi="Verdana" w:hint="default"/>
      <w:color w:val="0000FF"/>
      <w:sz w:val="17"/>
      <w:szCs w:val="17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4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39738&amp;integr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&#231;ao.htm" TargetMode="External"/><Relationship Id="rId11" Type="http://schemas.openxmlformats.org/officeDocument/2006/relationships/hyperlink" Target="http://www4.tjrj.jus.br/AtosOficiais/RESOLUCAOTJOE/RESOLUCAOTJOE-19-2004-ANEXO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ebfarm.tjrj.jus.br/biblioteca/index.asp?codigo_sophia=139895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39888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2014-10-08T20:21:00Z</dcterms:created>
  <dcterms:modified xsi:type="dcterms:W3CDTF">2018-07-25T15:43:00Z</dcterms:modified>
</cp:coreProperties>
</file>