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83" w:rsidRDefault="00D5267D" w:rsidP="00257E8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D5267D">
        <w:rPr>
          <w:rFonts w:ascii="Arial" w:hAnsi="Arial" w:cs="Arial"/>
          <w:b/>
          <w:sz w:val="24"/>
          <w:szCs w:val="24"/>
        </w:rPr>
        <w:t>ANEXO 1</w:t>
      </w:r>
    </w:p>
    <w:p w:rsidR="00257E83" w:rsidRDefault="003814F4" w:rsidP="00257E8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D5267D">
        <w:rPr>
          <w:rFonts w:ascii="Arial" w:hAnsi="Arial" w:cs="Arial"/>
          <w:b/>
          <w:sz w:val="24"/>
          <w:szCs w:val="24"/>
        </w:rPr>
        <w:t>RESUMO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5267D">
        <w:rPr>
          <w:rFonts w:ascii="Arial" w:hAnsi="Arial" w:cs="Arial"/>
          <w:b/>
          <w:sz w:val="24"/>
          <w:szCs w:val="24"/>
        </w:rPr>
        <w:t>DAS FUNCIONALIDADES</w:t>
      </w:r>
      <w:r>
        <w:rPr>
          <w:rFonts w:ascii="Arial" w:hAnsi="Arial" w:cs="Arial"/>
          <w:b/>
          <w:sz w:val="24"/>
          <w:szCs w:val="24"/>
        </w:rPr>
        <w:t xml:space="preserve"> DO</w:t>
      </w:r>
      <w:r w:rsidRPr="00257E83">
        <w:rPr>
          <w:rFonts w:ascii="Arial" w:hAnsi="Arial" w:cs="Arial"/>
          <w:b/>
          <w:sz w:val="24"/>
          <w:szCs w:val="24"/>
        </w:rPr>
        <w:t xml:space="preserve"> </w:t>
      </w:r>
      <w:r w:rsidR="00257E83" w:rsidRPr="00257E83">
        <w:rPr>
          <w:rFonts w:ascii="Arial" w:hAnsi="Arial" w:cs="Arial"/>
          <w:b/>
          <w:sz w:val="24"/>
          <w:szCs w:val="24"/>
        </w:rPr>
        <w:t xml:space="preserve">MANUAL DE ELABORAÇÃO DE ATOS </w:t>
      </w:r>
      <w:r w:rsidR="00261107">
        <w:rPr>
          <w:rFonts w:ascii="Arial" w:hAnsi="Arial" w:cs="Arial"/>
          <w:b/>
          <w:sz w:val="24"/>
          <w:szCs w:val="24"/>
        </w:rPr>
        <w:t>FORMAIS</w:t>
      </w:r>
      <w:r w:rsidR="00257E83" w:rsidRPr="00257E83">
        <w:rPr>
          <w:rFonts w:ascii="Arial" w:hAnsi="Arial" w:cs="Arial"/>
          <w:b/>
          <w:sz w:val="24"/>
          <w:szCs w:val="24"/>
        </w:rPr>
        <w:t xml:space="preserve"> DE GESTÃO ADMINISTRATIVA </w:t>
      </w:r>
    </w:p>
    <w:p w:rsidR="00D5267D" w:rsidRPr="003814F4" w:rsidRDefault="003814F4" w:rsidP="00257E83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</w:rPr>
      </w:pPr>
      <w:r w:rsidRPr="003814F4">
        <w:rPr>
          <w:rFonts w:ascii="Arial" w:hAnsi="Arial" w:cs="Arial"/>
          <w:b/>
          <w:sz w:val="18"/>
          <w:szCs w:val="18"/>
        </w:rPr>
        <w:t xml:space="preserve">(O MANUAL COMPLETO ESTARÁ DISPONÍVEL NO SITE DO </w:t>
      </w:r>
      <w:r w:rsidR="00957EE1">
        <w:rPr>
          <w:rFonts w:ascii="Arial" w:hAnsi="Arial" w:cs="Arial"/>
          <w:b/>
          <w:sz w:val="18"/>
          <w:szCs w:val="18"/>
        </w:rPr>
        <w:t>PJERJ</w:t>
      </w:r>
      <w:r w:rsidRPr="003814F4">
        <w:rPr>
          <w:rFonts w:ascii="Arial" w:hAnsi="Arial" w:cs="Arial"/>
          <w:b/>
          <w:sz w:val="18"/>
          <w:szCs w:val="18"/>
        </w:rPr>
        <w:t>)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7"/>
        <w:gridCol w:w="4395"/>
        <w:gridCol w:w="2409"/>
        <w:gridCol w:w="993"/>
        <w:gridCol w:w="2268"/>
        <w:gridCol w:w="1559"/>
        <w:gridCol w:w="1276"/>
      </w:tblGrid>
      <w:tr w:rsidR="00F9096C" w:rsidRPr="005346A8" w:rsidTr="008D1CEE">
        <w:trPr>
          <w:trHeight w:hRule="exact" w:val="737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5267D" w:rsidRPr="00D5267D" w:rsidRDefault="00D5267D" w:rsidP="003E5683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5267D">
              <w:rPr>
                <w:rFonts w:ascii="Arial" w:hAnsi="Arial" w:cs="Arial"/>
                <w:b/>
                <w:sz w:val="17"/>
                <w:szCs w:val="17"/>
              </w:rPr>
              <w:t>CLASSE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5267D" w:rsidRPr="00D5267D" w:rsidRDefault="00D5267D" w:rsidP="003E5683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5267D">
              <w:rPr>
                <w:rFonts w:ascii="Arial" w:hAnsi="Arial" w:cs="Arial"/>
                <w:b/>
                <w:sz w:val="17"/>
                <w:szCs w:val="17"/>
              </w:rPr>
              <w:t>ESPÉCIE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5267D" w:rsidRPr="00D5267D" w:rsidRDefault="00D5267D" w:rsidP="003E5683">
            <w:pPr>
              <w:tabs>
                <w:tab w:val="left" w:pos="0"/>
              </w:tabs>
              <w:spacing w:before="40" w:after="40"/>
              <w:ind w:left="-551" w:firstLine="551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5267D">
              <w:rPr>
                <w:rFonts w:ascii="Arial" w:hAnsi="Arial" w:cs="Arial"/>
                <w:b/>
                <w:sz w:val="17"/>
                <w:szCs w:val="17"/>
              </w:rPr>
              <w:t>FINALIDADE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5267D" w:rsidRPr="00D5267D" w:rsidRDefault="00D5267D" w:rsidP="003E5683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5267D">
              <w:rPr>
                <w:rFonts w:ascii="Arial" w:hAnsi="Arial" w:cs="Arial"/>
                <w:b/>
                <w:sz w:val="17"/>
                <w:szCs w:val="17"/>
              </w:rPr>
              <w:t>ÓRGÃO EMISSOR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5267D" w:rsidRPr="00D5267D" w:rsidRDefault="00D5267D" w:rsidP="003E5683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5267D">
              <w:rPr>
                <w:rFonts w:ascii="Arial" w:hAnsi="Arial" w:cs="Arial"/>
                <w:b/>
                <w:sz w:val="17"/>
                <w:szCs w:val="17"/>
              </w:rPr>
              <w:t xml:space="preserve">EFEITOS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5267D" w:rsidRPr="00D5267D" w:rsidRDefault="00D5267D" w:rsidP="003E5683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5267D">
              <w:rPr>
                <w:rFonts w:ascii="Arial" w:hAnsi="Arial" w:cs="Arial"/>
                <w:b/>
                <w:sz w:val="17"/>
                <w:szCs w:val="17"/>
              </w:rPr>
              <w:t>PUBLICIDADE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5267D" w:rsidRPr="00D5267D" w:rsidRDefault="00D5267D" w:rsidP="003E5683">
            <w:pPr>
              <w:tabs>
                <w:tab w:val="left" w:pos="0"/>
              </w:tabs>
              <w:spacing w:beforeLines="40" w:before="96" w:afterLines="40" w:after="96"/>
              <w:ind w:right="-108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5267D">
              <w:rPr>
                <w:rFonts w:ascii="Arial" w:hAnsi="Arial" w:cs="Arial"/>
                <w:b/>
                <w:sz w:val="17"/>
                <w:szCs w:val="17"/>
              </w:rPr>
              <w:t xml:space="preserve">ÁREA </w:t>
            </w:r>
            <w:r w:rsidRPr="00D5267D">
              <w:rPr>
                <w:rFonts w:ascii="Arial" w:hAnsi="Arial" w:cs="Arial"/>
                <w:b/>
                <w:sz w:val="16"/>
                <w:szCs w:val="16"/>
              </w:rPr>
              <w:t>(JUDICIÁRIA/ ADMINISTRATIVA)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5267D" w:rsidRPr="00D5267D" w:rsidRDefault="00D5267D" w:rsidP="003E5683">
            <w:pPr>
              <w:tabs>
                <w:tab w:val="left" w:pos="0"/>
              </w:tabs>
              <w:spacing w:beforeLines="40" w:before="96" w:afterLines="40" w:after="96"/>
              <w:ind w:right="-108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5267D">
              <w:rPr>
                <w:rFonts w:ascii="Arial" w:hAnsi="Arial" w:cs="Arial"/>
                <w:b/>
                <w:sz w:val="17"/>
                <w:szCs w:val="17"/>
              </w:rPr>
              <w:t>ASSUNTO (GENÉRICO/ ESPECÍFICO)</w:t>
            </w:r>
          </w:p>
        </w:tc>
      </w:tr>
      <w:tr w:rsidR="00F9096C" w:rsidRPr="005346A8" w:rsidTr="00754052">
        <w:trPr>
          <w:trHeight w:val="59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B63" w:rsidRPr="00D5267D" w:rsidRDefault="00154B63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54B63" w:rsidRPr="00D5267D" w:rsidRDefault="00154B63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54B63" w:rsidRDefault="00154B63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2D0A55" w:rsidRDefault="002D0A55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2D0A55" w:rsidRDefault="002D0A55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2D0A55" w:rsidRDefault="002D0A55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2D0A55" w:rsidRDefault="002D0A55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2D0A55" w:rsidRDefault="002D0A55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2D0A55" w:rsidRPr="00D5267D" w:rsidRDefault="002D0A55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54B63" w:rsidRPr="00D5267D" w:rsidRDefault="00154B63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54B63" w:rsidRPr="00D5267D" w:rsidRDefault="00154B63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54B63" w:rsidRPr="00D5267D" w:rsidRDefault="00154B63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5267D">
              <w:rPr>
                <w:rFonts w:ascii="Arial" w:hAnsi="Arial" w:cs="Arial"/>
                <w:b/>
                <w:sz w:val="17"/>
                <w:szCs w:val="17"/>
              </w:rPr>
              <w:t>DETERMINAÇÃO</w:t>
            </w:r>
          </w:p>
          <w:p w:rsidR="00154B63" w:rsidRPr="00D5267D" w:rsidRDefault="00154B63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54B63" w:rsidRPr="00D5267D" w:rsidRDefault="00154B63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54B63" w:rsidRPr="00D5267D" w:rsidRDefault="00154B63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54B63" w:rsidRPr="00D5267D" w:rsidRDefault="00154B63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54B63" w:rsidRPr="00D5267D" w:rsidRDefault="00154B63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54B63" w:rsidRPr="00D5267D" w:rsidRDefault="00154B63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54B63" w:rsidRPr="00D5267D" w:rsidRDefault="00154B63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54B63" w:rsidRPr="00D5267D" w:rsidRDefault="00154B63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54B63" w:rsidRPr="00D5267D" w:rsidRDefault="00154B63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54B63" w:rsidRPr="00D5267D" w:rsidRDefault="00154B63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22491F" w:rsidRDefault="0022491F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22491F" w:rsidRDefault="0022491F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22491F" w:rsidRDefault="0022491F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22491F" w:rsidRDefault="0022491F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7A4039" w:rsidRDefault="007A4039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7A4039" w:rsidRDefault="007A4039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7A4039" w:rsidRDefault="007A4039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7A4039" w:rsidRDefault="007A4039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F9096C" w:rsidRDefault="00F9096C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F9096C" w:rsidRDefault="00F9096C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2D0A55" w:rsidRDefault="002D0A55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F9096C" w:rsidRDefault="00F9096C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F9096C" w:rsidRDefault="00F9096C" w:rsidP="00F9096C">
            <w:pPr>
              <w:tabs>
                <w:tab w:val="left" w:pos="0"/>
              </w:tabs>
              <w:spacing w:beforeLines="40" w:before="96" w:afterLines="40" w:after="96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22491F" w:rsidRDefault="0022491F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154B63" w:rsidRPr="00D5267D" w:rsidRDefault="00154B63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5267D">
              <w:rPr>
                <w:rFonts w:ascii="Arial" w:hAnsi="Arial" w:cs="Arial"/>
                <w:b/>
                <w:sz w:val="17"/>
                <w:szCs w:val="17"/>
              </w:rPr>
              <w:t>DETERMINAÇÃO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592532" w:rsidRDefault="00154B63" w:rsidP="003765A4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2532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Resolução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D5267D" w:rsidRDefault="004B5FD7" w:rsidP="00261107">
            <w:pPr>
              <w:tabs>
                <w:tab w:val="left" w:pos="0"/>
              </w:tabs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4B5FD7">
              <w:rPr>
                <w:rFonts w:ascii="Arial" w:hAnsi="Arial" w:cs="Arial"/>
                <w:sz w:val="18"/>
                <w:szCs w:val="18"/>
              </w:rPr>
              <w:t xml:space="preserve">nstrumento que disciplina </w:t>
            </w:r>
            <w:r w:rsidR="00142075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4B5FD7">
              <w:rPr>
                <w:rFonts w:ascii="Arial" w:hAnsi="Arial" w:cs="Arial"/>
                <w:sz w:val="18"/>
                <w:szCs w:val="18"/>
              </w:rPr>
              <w:t xml:space="preserve">deliberação </w:t>
            </w:r>
            <w:r w:rsidR="00261107">
              <w:rPr>
                <w:rFonts w:ascii="Arial" w:hAnsi="Arial" w:cs="Arial"/>
                <w:sz w:val="18"/>
                <w:szCs w:val="18"/>
              </w:rPr>
              <w:t>sobre</w:t>
            </w:r>
            <w:r w:rsidRPr="004B5FD7">
              <w:rPr>
                <w:rFonts w:ascii="Arial" w:hAnsi="Arial" w:cs="Arial"/>
                <w:sz w:val="18"/>
                <w:szCs w:val="18"/>
              </w:rPr>
              <w:t xml:space="preserve"> matéria de competência específica de órgão colegiado jurisdicional.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6C" w:rsidRDefault="004B5FD7" w:rsidP="00D5267D">
            <w:pPr>
              <w:tabs>
                <w:tab w:val="left" w:pos="0"/>
              </w:tabs>
              <w:spacing w:before="20" w:after="2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5FD7">
              <w:rPr>
                <w:rFonts w:ascii="Arial" w:hAnsi="Arial" w:cs="Arial"/>
                <w:sz w:val="18"/>
                <w:szCs w:val="18"/>
              </w:rPr>
              <w:t xml:space="preserve">Órgão Especial ou </w:t>
            </w:r>
          </w:p>
          <w:p w:rsidR="00154B63" w:rsidRPr="00D5267D" w:rsidRDefault="004B5FD7" w:rsidP="00D5267D">
            <w:pPr>
              <w:tabs>
                <w:tab w:val="left" w:pos="0"/>
              </w:tabs>
              <w:spacing w:before="20" w:after="2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5FD7">
              <w:rPr>
                <w:rFonts w:ascii="Arial" w:hAnsi="Arial" w:cs="Arial"/>
                <w:sz w:val="18"/>
                <w:szCs w:val="18"/>
              </w:rPr>
              <w:t>Conselho da Magistratura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B774F2" w:rsidRDefault="00CD1AF6" w:rsidP="00D5267D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774F2">
              <w:rPr>
                <w:rFonts w:ascii="Arial" w:hAnsi="Arial" w:cs="Arial"/>
                <w:color w:val="000000"/>
                <w:sz w:val="18"/>
                <w:szCs w:val="18"/>
              </w:rPr>
              <w:t>interno</w:t>
            </w:r>
            <w:r w:rsidR="00154B63" w:rsidRPr="00B774F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:rsidR="00154B63" w:rsidRPr="00D5267D" w:rsidRDefault="00CD1AF6" w:rsidP="00D5267D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74F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154B63" w:rsidRPr="00B774F2">
              <w:rPr>
                <w:rFonts w:ascii="Arial" w:hAnsi="Arial" w:cs="Arial"/>
                <w:color w:val="000000"/>
                <w:sz w:val="18"/>
                <w:szCs w:val="18"/>
              </w:rPr>
              <w:t>xterno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D5267D" w:rsidRDefault="00154B63" w:rsidP="00D5267D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267D">
              <w:rPr>
                <w:rFonts w:ascii="Arial" w:hAnsi="Arial" w:cs="Arial"/>
                <w:sz w:val="18"/>
                <w:szCs w:val="18"/>
              </w:rPr>
              <w:t>Diário da Justiça Eletrônico (DJERJ)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D5267D" w:rsidRDefault="00CD1AF6" w:rsidP="00D5267D">
            <w:pPr>
              <w:tabs>
                <w:tab w:val="left" w:pos="0"/>
              </w:tabs>
              <w:spacing w:before="20" w:after="2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judiciária/ a</w:t>
            </w:r>
            <w:r w:rsidR="00154B63" w:rsidRPr="00D5267D">
              <w:rPr>
                <w:rFonts w:ascii="Arial" w:hAnsi="Arial" w:cs="Arial"/>
                <w:sz w:val="18"/>
                <w:szCs w:val="18"/>
              </w:rPr>
              <w:t>dministrativa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D5267D" w:rsidRDefault="00CD1AF6" w:rsidP="00D5267D">
            <w:pPr>
              <w:tabs>
                <w:tab w:val="left" w:pos="0"/>
              </w:tabs>
              <w:spacing w:before="20" w:after="20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154B63" w:rsidRPr="00D5267D">
              <w:rPr>
                <w:rFonts w:ascii="Arial" w:hAnsi="Arial" w:cs="Arial"/>
                <w:sz w:val="18"/>
                <w:szCs w:val="18"/>
              </w:rPr>
              <w:t>enérico</w:t>
            </w:r>
          </w:p>
        </w:tc>
      </w:tr>
      <w:tr w:rsidR="00F9096C" w:rsidRPr="00754052" w:rsidTr="00754052">
        <w:trPr>
          <w:trHeight w:val="245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B63" w:rsidRPr="00754052" w:rsidRDefault="00154B63" w:rsidP="003E5683">
            <w:pPr>
              <w:tabs>
                <w:tab w:val="left" w:pos="0"/>
              </w:tabs>
              <w:spacing w:beforeLines="40" w:before="96" w:afterLines="40" w:after="96"/>
              <w:jc w:val="both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154B63" w:rsidP="00154B63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Ato Normativo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D7" w:rsidRPr="00754052" w:rsidRDefault="004B5FD7" w:rsidP="00154B63">
            <w:pPr>
              <w:tabs>
                <w:tab w:val="left" w:pos="0"/>
              </w:tabs>
              <w:spacing w:before="20" w:after="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Instrumento utilizado para definir procedimentos de caráter genérico</w:t>
            </w:r>
            <w:r w:rsidR="00261107" w:rsidRPr="00754052">
              <w:rPr>
                <w:rFonts w:ascii="Arial" w:hAnsi="Arial" w:cs="Arial"/>
                <w:color w:val="000000"/>
                <w:sz w:val="18"/>
                <w:szCs w:val="18"/>
              </w:rPr>
              <w:t>, impessoal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e abstrato, conce</w:t>
            </w:r>
            <w:r w:rsidR="000532F3" w:rsidRPr="00754052">
              <w:rPr>
                <w:rFonts w:ascii="Arial" w:hAnsi="Arial" w:cs="Arial"/>
                <w:color w:val="000000"/>
                <w:sz w:val="18"/>
                <w:szCs w:val="18"/>
              </w:rPr>
              <w:t>rnentes à A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dministração, explicitando a norma legal a ser observada pelo Poder Judiciário.</w:t>
            </w:r>
          </w:p>
          <w:p w:rsidR="00154B63" w:rsidRPr="00754052" w:rsidRDefault="00154B63" w:rsidP="00FB1D9F">
            <w:pPr>
              <w:tabs>
                <w:tab w:val="left" w:pos="0"/>
              </w:tabs>
              <w:spacing w:before="20" w:after="2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>OBS</w:t>
            </w:r>
            <w:r w:rsidR="003659E1"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="00FB1D9F" w:rsidRPr="00754052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="004B5FD7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Ato Normativo será conjunto quando veicular a manifestação de mais de uma autoridade da Administração Superior do Poder Judiciário, tais como Vice-Presidentes, entre outros. O Corregedor poderá emitir Ato Normativo se em conjunto com o Presidente</w:t>
            </w:r>
            <w:r w:rsidR="00142075" w:rsidRPr="00754052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="004B5FD7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se </w:t>
            </w:r>
            <w:r w:rsidR="00976CC8" w:rsidRPr="00754052">
              <w:rPr>
                <w:rFonts w:ascii="Arial" w:hAnsi="Arial" w:cs="Arial"/>
                <w:color w:val="000000"/>
                <w:sz w:val="18"/>
                <w:szCs w:val="18"/>
              </w:rPr>
              <w:t>unilateral</w:t>
            </w:r>
            <w:r w:rsidR="00407B00" w:rsidRPr="0075405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4B5FD7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deverá emitir Provimento. </w:t>
            </w:r>
            <w:r w:rsidR="00261107" w:rsidRPr="0075405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4B5FD7" w:rsidRPr="00754052">
              <w:rPr>
                <w:rFonts w:ascii="Arial" w:hAnsi="Arial" w:cs="Arial"/>
                <w:color w:val="000000"/>
                <w:sz w:val="18"/>
                <w:szCs w:val="18"/>
              </w:rPr>
              <w:t>to posterior</w:t>
            </w:r>
            <w:r w:rsidR="00261107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e</w:t>
            </w:r>
            <w:r w:rsidR="004B5FD7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individual da Presidência altera ou revoga os atos conjuntos que com ele sejam incompatíveis.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4B5FD7" w:rsidP="00154B63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Presidente do Tribunal de Justiça ou 1º, 2º e 3º Vice-Presidentes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927" w:rsidRPr="00754052" w:rsidRDefault="001D4927" w:rsidP="001D4927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interno/</w:t>
            </w:r>
          </w:p>
          <w:p w:rsidR="00154B63" w:rsidRPr="00754052" w:rsidRDefault="001D4927" w:rsidP="001D4927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externo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154B63" w:rsidP="00154B63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Diário da Justiça Eletrônico (DJERJ)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CD1AF6" w:rsidP="00154B63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154B63" w:rsidRPr="00754052">
              <w:rPr>
                <w:rFonts w:ascii="Arial" w:hAnsi="Arial" w:cs="Arial"/>
                <w:color w:val="000000"/>
                <w:sz w:val="18"/>
                <w:szCs w:val="18"/>
              </w:rPr>
              <w:t>dministrativa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CD1AF6" w:rsidP="00154B63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="00154B63" w:rsidRPr="00754052">
              <w:rPr>
                <w:rFonts w:ascii="Arial" w:hAnsi="Arial" w:cs="Arial"/>
                <w:color w:val="000000"/>
                <w:sz w:val="18"/>
                <w:szCs w:val="18"/>
              </w:rPr>
              <w:t>enérico</w:t>
            </w:r>
          </w:p>
        </w:tc>
      </w:tr>
      <w:tr w:rsidR="00F9096C" w:rsidRPr="00754052" w:rsidTr="002D0A55">
        <w:trPr>
          <w:trHeight w:hRule="exact" w:val="379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B63" w:rsidRPr="00754052" w:rsidRDefault="00154B63" w:rsidP="003E5683">
            <w:pPr>
              <w:tabs>
                <w:tab w:val="left" w:pos="0"/>
              </w:tabs>
              <w:spacing w:beforeLines="40" w:before="96" w:afterLines="40" w:after="96"/>
              <w:jc w:val="both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154B63" w:rsidP="005E6930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Ato Executivo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F172F8" w:rsidP="008D30AE">
            <w:pPr>
              <w:tabs>
                <w:tab w:val="left" w:pos="0"/>
              </w:tabs>
              <w:spacing w:before="20" w:after="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="007A4039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nstrumento por meio do qual são disciplinadas situações específicas, além </w:t>
            </w:r>
            <w:r w:rsidR="00261107" w:rsidRPr="00754052">
              <w:rPr>
                <w:rFonts w:ascii="Arial" w:hAnsi="Arial" w:cs="Arial"/>
                <w:color w:val="000000"/>
                <w:sz w:val="18"/>
                <w:szCs w:val="18"/>
              </w:rPr>
              <w:t>de tratar de assuntos de gestão material,</w:t>
            </w:r>
            <w:r w:rsidR="007A4039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com efeito concreto</w:t>
            </w:r>
            <w:r w:rsidR="00261107" w:rsidRPr="0075405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7A4039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no âmbito do </w:t>
            </w:r>
            <w:r w:rsidR="005C5AFC" w:rsidRPr="00754052">
              <w:rPr>
                <w:rFonts w:ascii="Arial" w:hAnsi="Arial" w:cs="Arial"/>
                <w:color w:val="000000"/>
                <w:sz w:val="18"/>
                <w:szCs w:val="18"/>
              </w:rPr>
              <w:t>PJERJ</w:t>
            </w:r>
            <w:r w:rsidR="007A4039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, tais como instalação de serventias, suspensão/devolução </w:t>
            </w:r>
            <w:r w:rsidR="007E5909" w:rsidRPr="00754052">
              <w:rPr>
                <w:rFonts w:ascii="Arial" w:hAnsi="Arial" w:cs="Arial"/>
                <w:color w:val="000000"/>
                <w:sz w:val="18"/>
                <w:szCs w:val="18"/>
              </w:rPr>
              <w:t>de</w:t>
            </w:r>
            <w:r w:rsidR="007A4039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prazos, instituição/extinção de órgãos colegiados administrativos, delegação de competência,</w:t>
            </w:r>
            <w:r w:rsidR="008D1CEE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dentre outros.</w:t>
            </w:r>
          </w:p>
          <w:p w:rsidR="00154B63" w:rsidRPr="00754052" w:rsidRDefault="00154B63" w:rsidP="00FB1D9F">
            <w:pPr>
              <w:tabs>
                <w:tab w:val="left" w:pos="0"/>
              </w:tabs>
              <w:spacing w:before="20" w:after="2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>OBS</w:t>
            </w:r>
            <w:r w:rsidR="003659E1"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="00FB1D9F" w:rsidRPr="00754052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="007A4039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Ato Executivo será </w:t>
            </w:r>
            <w:r w:rsidR="005D3560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conjunto quando veicular a manifestação de mais de uma autoridade da Administração Superior do Poder Judiciário, tais como Vice-Presidentes, entre outros. </w:t>
            </w:r>
            <w:r w:rsidR="00F605EF" w:rsidRPr="00754052">
              <w:rPr>
                <w:rFonts w:ascii="Arial" w:hAnsi="Arial" w:cs="Arial"/>
                <w:color w:val="000000"/>
                <w:sz w:val="18"/>
                <w:szCs w:val="18"/>
              </w:rPr>
              <w:t>No âmbito deste PJERJ, salvo o Presidente do TJERJ, as demais autoridades da Administração Superior só poderão emitir Atos Executivos se em conjunto com o Presidente do TJERJ</w:t>
            </w:r>
            <w:r w:rsidR="005D3560" w:rsidRPr="0075405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F605EF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O a</w:t>
            </w:r>
            <w:r w:rsidR="005D3560" w:rsidRPr="00754052">
              <w:rPr>
                <w:rFonts w:ascii="Arial" w:hAnsi="Arial" w:cs="Arial"/>
                <w:color w:val="000000"/>
                <w:sz w:val="18"/>
                <w:szCs w:val="18"/>
              </w:rPr>
              <w:t>to posterior e individual da Presidência altera ou revoga os atos conjuntos que com ele sejam incompatíveis.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154B63" w:rsidP="00A673F5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Presidente do TJ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B" w:rsidRPr="00754052" w:rsidRDefault="00D36C4B" w:rsidP="00D36C4B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interno/</w:t>
            </w:r>
          </w:p>
          <w:p w:rsidR="00154B63" w:rsidRPr="00754052" w:rsidRDefault="00D36C4B" w:rsidP="00D36C4B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externo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154B63" w:rsidP="00D5267D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Diário da Justiça Eletrônico (DJERJ)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CD1AF6" w:rsidP="00D5267D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judiciária/ a</w:t>
            </w:r>
            <w:r w:rsidR="00154B63" w:rsidRPr="00754052">
              <w:rPr>
                <w:rFonts w:ascii="Arial" w:hAnsi="Arial" w:cs="Arial"/>
                <w:color w:val="000000"/>
                <w:sz w:val="18"/>
                <w:szCs w:val="18"/>
              </w:rPr>
              <w:t>dministrativa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CD1AF6" w:rsidP="00CD1AF6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154B63" w:rsidRPr="00754052">
              <w:rPr>
                <w:rFonts w:ascii="Arial" w:hAnsi="Arial" w:cs="Arial"/>
                <w:color w:val="000000"/>
                <w:sz w:val="18"/>
                <w:szCs w:val="18"/>
              </w:rPr>
              <w:t>specífico</w:t>
            </w:r>
          </w:p>
        </w:tc>
      </w:tr>
      <w:tr w:rsidR="00F9096C" w:rsidRPr="00754052" w:rsidTr="00A60AEF">
        <w:trPr>
          <w:trHeight w:val="180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B63" w:rsidRPr="00754052" w:rsidRDefault="00154B63" w:rsidP="003E5683">
            <w:pPr>
              <w:tabs>
                <w:tab w:val="left" w:pos="0"/>
              </w:tabs>
              <w:spacing w:beforeLines="40" w:before="96" w:afterLines="40" w:after="96"/>
              <w:jc w:val="both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154B63" w:rsidP="00154B63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Provimento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F172F8" w:rsidP="00DC7579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Instrumento de caráter normativo de efeito</w:t>
            </w:r>
            <w:r w:rsidR="009C121F" w:rsidRPr="00754052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D1AF6" w:rsidRPr="00754052">
              <w:rPr>
                <w:rFonts w:ascii="Arial" w:hAnsi="Arial" w:cs="Arial"/>
                <w:color w:val="000000"/>
                <w:sz w:val="18"/>
                <w:szCs w:val="18"/>
              </w:rPr>
              <w:t>interno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e externo, por meio do qual a Corregedoria-Geral da Justiça organiza seus órgãos e atividades, visando regulamentar e viabilizar a aplicação de disposições legais, bem como consolidar</w:t>
            </w:r>
            <w:r w:rsidR="00142075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C121F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as 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normas atinentes à matéria de sua competência ou modificar a Consolidação Normativa, </w:t>
            </w:r>
            <w:r w:rsidR="00424663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no 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concernente às </w:t>
            </w:r>
            <w:r w:rsidR="00424663" w:rsidRPr="00754052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erventias </w:t>
            </w:r>
            <w:r w:rsidR="00424663" w:rsidRPr="00754052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udiciais e </w:t>
            </w:r>
            <w:r w:rsidR="004121AF" w:rsidRPr="0075405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os </w:t>
            </w:r>
            <w:r w:rsidR="00424663" w:rsidRPr="00754052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erviços </w:t>
            </w:r>
            <w:r w:rsidR="00424663"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xtrajudiciais.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154B63" w:rsidP="00154B63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Corregedor-Geral da Justiça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CD1AF6" w:rsidP="00154B63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interno</w:t>
            </w:r>
            <w:r w:rsidR="00154B63" w:rsidRPr="0075405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:rsidR="00154B63" w:rsidRPr="00754052" w:rsidRDefault="00CD1AF6" w:rsidP="00154B63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154B63" w:rsidRPr="00754052">
              <w:rPr>
                <w:rFonts w:ascii="Arial" w:hAnsi="Arial" w:cs="Arial"/>
                <w:color w:val="000000"/>
                <w:sz w:val="18"/>
                <w:szCs w:val="18"/>
              </w:rPr>
              <w:t>xterno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154B63" w:rsidP="00154B63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Diário da Justiça Eletrônico (DJERJ)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CD1AF6" w:rsidP="00154B63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judiciária/ a</w:t>
            </w:r>
            <w:r w:rsidR="00154B63" w:rsidRPr="00754052">
              <w:rPr>
                <w:rFonts w:ascii="Arial" w:hAnsi="Arial" w:cs="Arial"/>
                <w:color w:val="000000"/>
                <w:sz w:val="18"/>
                <w:szCs w:val="18"/>
              </w:rPr>
              <w:t>dministrativa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CD1AF6" w:rsidP="00154B63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="00154B63" w:rsidRPr="00754052">
              <w:rPr>
                <w:rFonts w:ascii="Arial" w:hAnsi="Arial" w:cs="Arial"/>
                <w:color w:val="000000"/>
                <w:sz w:val="18"/>
                <w:szCs w:val="18"/>
              </w:rPr>
              <w:t>enérico</w:t>
            </w:r>
          </w:p>
        </w:tc>
      </w:tr>
      <w:tr w:rsidR="00F9096C" w:rsidRPr="00754052" w:rsidTr="00A60AEF">
        <w:trPr>
          <w:trHeight w:val="298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B63" w:rsidRPr="00754052" w:rsidRDefault="00154B63" w:rsidP="003E5683">
            <w:pPr>
              <w:tabs>
                <w:tab w:val="left" w:pos="0"/>
              </w:tabs>
              <w:spacing w:beforeLines="40" w:before="96" w:afterLines="40" w:after="96"/>
              <w:jc w:val="both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154B63" w:rsidP="00154B63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Portaria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F172F8" w:rsidP="00167BC1">
            <w:pPr>
              <w:tabs>
                <w:tab w:val="left" w:pos="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Instrumento utilizado para aplicar disposições gerais ou especiais a casos concretos de sua competência, tais como: procedimentos administrativos, providências concernentes ao regime jurídico e à vida funcional de magistrados ou servidores (dispensa/designação/disposição de desembargadores, juízes ou servidores, permuta de magistrados, posse/ promoção/ remoção/ nomeação/ exoneração de magistrados, servidores ou auxiliares da justiça, designação de responsável pelo expediente ou encarregado pelo expediente e interventor </w:t>
            </w:r>
            <w:r w:rsidR="008842E1" w:rsidRPr="0075405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em</w:t>
            </w:r>
            <w:r w:rsidRPr="0075405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8842E1" w:rsidRPr="0075405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</w:t>
            </w:r>
            <w:r w:rsidRPr="0075405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erviço </w:t>
            </w:r>
            <w:r w:rsidR="008842E1" w:rsidRPr="0075405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5405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xtrajudicial, bem como substituto de </w:t>
            </w:r>
            <w:r w:rsidR="008842E1" w:rsidRPr="0075405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</w:t>
            </w:r>
            <w:r w:rsidRPr="0075405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erviço </w:t>
            </w:r>
            <w:r w:rsidR="008842E1" w:rsidRPr="0075405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</w:t>
            </w:r>
            <w:r w:rsidRPr="0075405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ficializado), instauração de sindicância, procedimento administrativo disciplinar ou outro evento de natureza apuratória, </w:t>
            </w:r>
            <w:r w:rsidR="00167BC1" w:rsidRPr="0075405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bem como </w:t>
            </w:r>
            <w:r w:rsidR="005605BE" w:rsidRPr="0075405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  <w:r w:rsidR="00167BC1" w:rsidRPr="0075405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os casos não previstos especificamente pelos demais atos de gestão deste Manual.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F172F8" w:rsidP="00BF28B1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Presidente do </w:t>
            </w:r>
            <w:r w:rsidR="003765A4" w:rsidRPr="00754052">
              <w:rPr>
                <w:rFonts w:ascii="Arial" w:hAnsi="Arial" w:cs="Arial"/>
                <w:color w:val="000000"/>
                <w:sz w:val="18"/>
                <w:szCs w:val="18"/>
              </w:rPr>
              <w:t>TJE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RJ, Corregedor-Geral da Justiça, 1º, 2º e 3º Vice-</w:t>
            </w:r>
            <w:r w:rsidR="008842E1" w:rsidRPr="00754052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residentes, </w:t>
            </w:r>
            <w:r w:rsidR="00BF28B1" w:rsidRPr="0075405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agistrados, </w:t>
            </w:r>
            <w:r w:rsidR="00BF28B1" w:rsidRPr="00754052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iretores-</w:t>
            </w:r>
            <w:r w:rsidR="00BF28B1" w:rsidRPr="00754052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erais e demais dirigentes das </w:t>
            </w:r>
            <w:r w:rsidR="00BF28B1" w:rsidRPr="00754052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nidades </w:t>
            </w:r>
            <w:r w:rsidR="00BF28B1"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xecutoras da Administração Superior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C4B" w:rsidRPr="00754052" w:rsidRDefault="00D36C4B" w:rsidP="00D36C4B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interno/</w:t>
            </w:r>
          </w:p>
          <w:p w:rsidR="00154B63" w:rsidRPr="00754052" w:rsidRDefault="00D36C4B" w:rsidP="00D36C4B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externo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154B63" w:rsidP="00154B63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Diário da Justiça Eletrônico (DJERJ)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CD1AF6" w:rsidP="00154B63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154B63" w:rsidRPr="00754052">
              <w:rPr>
                <w:rFonts w:ascii="Arial" w:hAnsi="Arial" w:cs="Arial"/>
                <w:color w:val="000000"/>
                <w:sz w:val="18"/>
                <w:szCs w:val="18"/>
              </w:rPr>
              <w:t>dministrativa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BA50B0" w:rsidP="00154B63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genérico/ específico</w:t>
            </w:r>
          </w:p>
        </w:tc>
      </w:tr>
      <w:tr w:rsidR="00F9096C" w:rsidRPr="00754052" w:rsidTr="00A60AEF">
        <w:trPr>
          <w:trHeight w:val="127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B63" w:rsidRPr="00754052" w:rsidRDefault="00154B63" w:rsidP="003E5683">
            <w:pPr>
              <w:tabs>
                <w:tab w:val="left" w:pos="0"/>
              </w:tabs>
              <w:spacing w:beforeLines="40" w:before="96" w:afterLines="40" w:after="96"/>
              <w:jc w:val="both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154B63" w:rsidP="00154B63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Ato Reservado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F172F8" w:rsidP="00142075">
            <w:pPr>
              <w:tabs>
                <w:tab w:val="left" w:pos="0"/>
              </w:tabs>
              <w:spacing w:before="20" w:after="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Instrumento por meio do qual o Corregedor-Geral da Justiça dá ciência</w:t>
            </w:r>
            <w:r w:rsidR="008842E1" w:rsidRPr="0075405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a </w:t>
            </w:r>
            <w:r w:rsidR="008842E1" w:rsidRPr="0075405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agistrados ou a </w:t>
            </w:r>
            <w:r w:rsidR="008842E1" w:rsidRPr="0075405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otários e </w:t>
            </w:r>
            <w:r w:rsidR="008842E1" w:rsidRPr="00754052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egistradores</w:t>
            </w:r>
            <w:r w:rsidR="008842E1" w:rsidRPr="0075405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de decisões judiciais exaradas em processos judiciais ou administrativos, que tramitam em segredo de justiça.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154B63" w:rsidP="00154B63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Corregedor-Geral da Justiça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CD1AF6" w:rsidP="00154B63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interno/ e</w:t>
            </w:r>
            <w:r w:rsidR="005D09AF" w:rsidRPr="00754052">
              <w:rPr>
                <w:rFonts w:ascii="Arial" w:hAnsi="Arial" w:cs="Arial"/>
                <w:color w:val="000000"/>
                <w:sz w:val="18"/>
                <w:szCs w:val="18"/>
              </w:rPr>
              <w:t>xterno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8842E1" w:rsidP="008842E1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="00154B63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eículo 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154B63" w:rsidRPr="00754052">
              <w:rPr>
                <w:rFonts w:ascii="Arial" w:hAnsi="Arial" w:cs="Arial"/>
                <w:color w:val="000000"/>
                <w:sz w:val="18"/>
                <w:szCs w:val="18"/>
              </w:rPr>
              <w:t>róprio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CD1AF6" w:rsidP="00154B63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 w:rsidR="00154B63" w:rsidRPr="00754052">
              <w:rPr>
                <w:rFonts w:ascii="Arial" w:hAnsi="Arial" w:cs="Arial"/>
                <w:color w:val="000000"/>
                <w:sz w:val="18"/>
                <w:szCs w:val="18"/>
              </w:rPr>
              <w:t>udiciária/</w:t>
            </w:r>
            <w:r w:rsidR="002A2F6D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154B63" w:rsidRPr="00754052">
              <w:rPr>
                <w:rFonts w:ascii="Arial" w:hAnsi="Arial" w:cs="Arial"/>
                <w:color w:val="000000"/>
                <w:sz w:val="18"/>
                <w:szCs w:val="18"/>
              </w:rPr>
              <w:t>dministrativa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CD1AF6" w:rsidP="00154B63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154B63" w:rsidRPr="00754052">
              <w:rPr>
                <w:rFonts w:ascii="Arial" w:hAnsi="Arial" w:cs="Arial"/>
                <w:color w:val="000000"/>
                <w:sz w:val="18"/>
                <w:szCs w:val="18"/>
              </w:rPr>
              <w:t>specífico</w:t>
            </w:r>
          </w:p>
        </w:tc>
      </w:tr>
      <w:tr w:rsidR="00F9096C" w:rsidRPr="00754052" w:rsidTr="00A60AEF">
        <w:trPr>
          <w:trHeight w:hRule="exact" w:val="124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B63" w:rsidRPr="00754052" w:rsidRDefault="00154B63" w:rsidP="003E5683">
            <w:pPr>
              <w:tabs>
                <w:tab w:val="left" w:pos="0"/>
              </w:tabs>
              <w:spacing w:beforeLines="40" w:before="96" w:afterLines="40" w:after="96"/>
              <w:jc w:val="both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154B63" w:rsidP="00D5267D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Ato Regimental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0E596D" w:rsidP="00142075">
            <w:pPr>
              <w:tabs>
                <w:tab w:val="left" w:pos="0"/>
              </w:tabs>
              <w:spacing w:before="20" w:after="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="00F172F8" w:rsidRPr="00754052">
              <w:rPr>
                <w:rFonts w:ascii="Arial" w:hAnsi="Arial" w:cs="Arial"/>
                <w:color w:val="000000"/>
                <w:sz w:val="18"/>
                <w:szCs w:val="18"/>
              </w:rPr>
              <w:t>nstrumento por meio do qual o Diretor-Geral da Escola da Magistratura do Rio de Janeiro (EMERJ) e o Presidente</w:t>
            </w:r>
            <w:r w:rsidR="008842E1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do Conselho Consultivo</w:t>
            </w:r>
            <w:r w:rsidR="00F172F8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da Escola de Administração Judiciária (ESAJ) organizam e disciplinam as atividades e os órgãos da EMERJ e da ESAJ.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0E596D" w:rsidP="00D5267D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Diretor-Geral da EMERJ ou Presidente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do Conselho Consultivo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da ESAJ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D36C4B" w:rsidP="00AF5700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interno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154B63" w:rsidP="00D5267D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Diário da Justiça Eletrônico (DJERJ)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CD1AF6" w:rsidP="00D5267D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154B63" w:rsidRPr="00754052">
              <w:rPr>
                <w:rFonts w:ascii="Arial" w:hAnsi="Arial" w:cs="Arial"/>
                <w:color w:val="000000"/>
                <w:sz w:val="18"/>
                <w:szCs w:val="18"/>
              </w:rPr>
              <w:t>dministrativa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B63" w:rsidRPr="00754052" w:rsidRDefault="00CD1AF6" w:rsidP="00CD1AF6">
            <w:pPr>
              <w:tabs>
                <w:tab w:val="left" w:pos="0"/>
              </w:tabs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="00154B63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enérico/ 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154B63" w:rsidRPr="00754052">
              <w:rPr>
                <w:rFonts w:ascii="Arial" w:hAnsi="Arial" w:cs="Arial"/>
                <w:color w:val="000000"/>
                <w:sz w:val="18"/>
                <w:szCs w:val="18"/>
              </w:rPr>
              <w:t>specífico</w:t>
            </w:r>
          </w:p>
        </w:tc>
      </w:tr>
      <w:tr w:rsidR="00F9096C" w:rsidRPr="00754052" w:rsidTr="00A60AEF">
        <w:trPr>
          <w:trHeight w:val="198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96C" w:rsidRPr="00754052" w:rsidRDefault="00F9096C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754052">
              <w:rPr>
                <w:rFonts w:ascii="Arial" w:hAnsi="Arial" w:cs="Arial"/>
                <w:b/>
                <w:color w:val="000000"/>
                <w:sz w:val="17"/>
                <w:szCs w:val="17"/>
              </w:rPr>
              <w:lastRenderedPageBreak/>
              <w:t>DETERMINAÇÃO</w:t>
            </w:r>
          </w:p>
          <w:p w:rsidR="00F9096C" w:rsidRPr="00754052" w:rsidRDefault="00F9096C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6C" w:rsidRPr="00754052" w:rsidRDefault="00F9096C" w:rsidP="00C6320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>Ordem de Serviço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F40DE9" w:rsidP="00072EB9">
            <w:pPr>
              <w:tabs>
                <w:tab w:val="left" w:pos="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Instrumento que transmite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, no âmbito </w:t>
            </w:r>
            <w:r w:rsidR="00CD1AF6" w:rsidRPr="00754052">
              <w:rPr>
                <w:rFonts w:ascii="Arial" w:hAnsi="Arial" w:cs="Arial"/>
                <w:color w:val="000000"/>
                <w:sz w:val="18"/>
                <w:szCs w:val="18"/>
              </w:rPr>
              <w:t>interno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da unidade organizacional, ordens uniformes aos respectivos subordinados</w:t>
            </w:r>
            <w:r w:rsidR="00142075" w:rsidRPr="0075405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visando organizar as atividades da estrutura interna, indicando a maneira de se conduzi</w:t>
            </w:r>
            <w:r w:rsidR="00142075" w:rsidRPr="00754052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determinado serviço ou atividade, bem como para realizar o deslocamento </w:t>
            </w:r>
            <w:r w:rsidR="00CD1AF6" w:rsidRPr="00754052">
              <w:rPr>
                <w:rFonts w:ascii="Arial" w:hAnsi="Arial" w:cs="Arial"/>
                <w:color w:val="000000"/>
                <w:sz w:val="18"/>
                <w:szCs w:val="18"/>
              </w:rPr>
              <w:t>interno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de servidores dentro da mesma unidade organizacional.</w:t>
            </w:r>
          </w:p>
          <w:p w:rsidR="00F9096C" w:rsidRPr="00754052" w:rsidRDefault="00072EB9" w:rsidP="00A62391">
            <w:pPr>
              <w:tabs>
                <w:tab w:val="left" w:pos="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OBS.: </w:t>
            </w:r>
            <w:r w:rsidR="00A62391" w:rsidRPr="0075405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s </w:t>
            </w:r>
            <w:r w:rsidR="00E468F3" w:rsidRPr="00754052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rdens de </w:t>
            </w:r>
            <w:r w:rsidR="00E468F3" w:rsidRPr="00754052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erviço provenientes de </w:t>
            </w:r>
            <w:r w:rsidR="00E468F3" w:rsidRPr="00754052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uiz de </w:t>
            </w:r>
            <w:r w:rsidR="00E468F3" w:rsidRPr="00754052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ireito </w:t>
            </w:r>
            <w:r w:rsidR="00142075" w:rsidRPr="00754052">
              <w:rPr>
                <w:rFonts w:ascii="Arial" w:hAnsi="Arial" w:cs="Arial"/>
                <w:color w:val="000000"/>
                <w:sz w:val="18"/>
                <w:szCs w:val="18"/>
              </w:rPr>
              <w:t>est</w:t>
            </w:r>
            <w:r w:rsidR="009C121F" w:rsidRPr="00754052">
              <w:rPr>
                <w:rFonts w:ascii="Arial" w:hAnsi="Arial" w:cs="Arial"/>
                <w:color w:val="000000"/>
                <w:sz w:val="18"/>
                <w:szCs w:val="18"/>
              </w:rPr>
              <w:t>ar</w:t>
            </w:r>
            <w:r w:rsidR="00142075" w:rsidRPr="00754052">
              <w:rPr>
                <w:rFonts w:ascii="Arial" w:hAnsi="Arial" w:cs="Arial"/>
                <w:color w:val="000000"/>
                <w:sz w:val="18"/>
                <w:szCs w:val="18"/>
              </w:rPr>
              <w:t>ão sujeitas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à aprovação da CGJ.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6C" w:rsidRPr="00754052" w:rsidRDefault="00F9096C" w:rsidP="00142075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Presidente do Tribunal de Justiça, Corregedor-Geral da Justiça, 1º, 2º e 3º Vice-</w:t>
            </w:r>
            <w:r w:rsidR="00142075" w:rsidRPr="00754052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residentes, </w:t>
            </w:r>
            <w:r w:rsidR="00E468F3" w:rsidRPr="0075405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agistrados, </w:t>
            </w:r>
            <w:r w:rsidR="00E468F3" w:rsidRPr="00754052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iretores-</w:t>
            </w:r>
            <w:r w:rsidR="00E468F3" w:rsidRPr="00754052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erais e demais dirigentes das </w:t>
            </w:r>
            <w:r w:rsidR="00E468F3" w:rsidRPr="00754052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nidades </w:t>
            </w:r>
            <w:r w:rsidR="00E468F3"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xecut</w:t>
            </w:r>
            <w:r w:rsidR="00A62391" w:rsidRPr="00754052">
              <w:rPr>
                <w:rFonts w:ascii="Arial" w:hAnsi="Arial" w:cs="Arial"/>
                <w:color w:val="000000"/>
                <w:sz w:val="18"/>
                <w:szCs w:val="18"/>
              </w:rPr>
              <w:t>oras da Administração Superior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6C" w:rsidRPr="00754052" w:rsidRDefault="00CD1AF6" w:rsidP="00C63202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interno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6C" w:rsidRPr="00754052" w:rsidRDefault="00E468F3" w:rsidP="00E468F3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="00F9096C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eículo 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F9096C" w:rsidRPr="00754052">
              <w:rPr>
                <w:rFonts w:ascii="Arial" w:hAnsi="Arial" w:cs="Arial"/>
                <w:color w:val="000000"/>
                <w:sz w:val="18"/>
                <w:szCs w:val="18"/>
              </w:rPr>
              <w:t>róprio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6C" w:rsidRPr="00754052" w:rsidRDefault="00CD1AF6" w:rsidP="00C63202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F9096C" w:rsidRPr="00754052">
              <w:rPr>
                <w:rFonts w:ascii="Arial" w:hAnsi="Arial" w:cs="Arial"/>
                <w:color w:val="000000"/>
                <w:sz w:val="18"/>
                <w:szCs w:val="18"/>
              </w:rPr>
              <w:t>dministrativa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6C" w:rsidRPr="00754052" w:rsidRDefault="00CD1AF6" w:rsidP="00CD1AF6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="00F9096C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enérico/ 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F9096C" w:rsidRPr="00754052">
              <w:rPr>
                <w:rFonts w:ascii="Arial" w:hAnsi="Arial" w:cs="Arial"/>
                <w:color w:val="000000"/>
                <w:sz w:val="18"/>
                <w:szCs w:val="18"/>
              </w:rPr>
              <w:t>specífico</w:t>
            </w:r>
          </w:p>
        </w:tc>
      </w:tr>
      <w:tr w:rsidR="00F9096C" w:rsidRPr="00754052" w:rsidTr="00A60AEF">
        <w:trPr>
          <w:trHeight w:val="111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96C" w:rsidRPr="00754052" w:rsidRDefault="00F9096C" w:rsidP="0022491F">
            <w:pPr>
              <w:tabs>
                <w:tab w:val="left" w:pos="0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6C" w:rsidRPr="00754052" w:rsidRDefault="00F9096C" w:rsidP="00C63202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>Rotina Administrativa (RAD)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6C" w:rsidRPr="00754052" w:rsidRDefault="00F9096C" w:rsidP="00F40DE9">
            <w:pPr>
              <w:tabs>
                <w:tab w:val="left" w:pos="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Instrumento que estabelece a forma de execução de processos de trabalho</w:t>
            </w:r>
            <w:r w:rsidR="00F40DE9" w:rsidRPr="00754052">
              <w:rPr>
                <w:rFonts w:ascii="Arial" w:hAnsi="Arial" w:cs="Arial"/>
                <w:color w:val="000000"/>
                <w:sz w:val="18"/>
                <w:szCs w:val="18"/>
              </w:rPr>
              <w:t>, descrevendo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o nível operacional de atividade administrativa do PJERJ.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6C" w:rsidRPr="00754052" w:rsidRDefault="00F9096C" w:rsidP="00C63202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A atribuição para emissão de Rotina Administrativa é estabelecida na RAD-PJERJ-002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6C" w:rsidRPr="00754052" w:rsidRDefault="00CD1AF6" w:rsidP="00C63202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interno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6C" w:rsidRPr="00754052" w:rsidRDefault="0020654E" w:rsidP="0020654E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="00F9096C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eículo 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F9096C" w:rsidRPr="00754052">
              <w:rPr>
                <w:rFonts w:ascii="Arial" w:hAnsi="Arial" w:cs="Arial"/>
                <w:color w:val="000000"/>
                <w:sz w:val="18"/>
                <w:szCs w:val="18"/>
              </w:rPr>
              <w:t>róprio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6C" w:rsidRPr="00754052" w:rsidRDefault="00CD1AF6" w:rsidP="00C63202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F9096C" w:rsidRPr="00754052">
              <w:rPr>
                <w:rFonts w:ascii="Arial" w:hAnsi="Arial" w:cs="Arial"/>
                <w:color w:val="000000"/>
                <w:sz w:val="18"/>
                <w:szCs w:val="18"/>
              </w:rPr>
              <w:t>dministrativa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6C" w:rsidRPr="00754052" w:rsidRDefault="00CD1AF6" w:rsidP="00C63202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F9096C" w:rsidRPr="00754052">
              <w:rPr>
                <w:rFonts w:ascii="Arial" w:hAnsi="Arial" w:cs="Arial"/>
                <w:color w:val="000000"/>
                <w:sz w:val="18"/>
                <w:szCs w:val="18"/>
              </w:rPr>
              <w:t>specífico</w:t>
            </w:r>
          </w:p>
        </w:tc>
      </w:tr>
      <w:tr w:rsidR="00F9096C" w:rsidRPr="00754052" w:rsidTr="00A60AEF">
        <w:trPr>
          <w:trHeight w:val="139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96C" w:rsidRPr="00754052" w:rsidRDefault="00F9096C" w:rsidP="003E5683">
            <w:pPr>
              <w:tabs>
                <w:tab w:val="left" w:pos="0"/>
              </w:tabs>
              <w:spacing w:beforeLines="40" w:before="96" w:afterLines="40" w:after="96"/>
              <w:jc w:val="both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6C" w:rsidRPr="00754052" w:rsidRDefault="00F9096C" w:rsidP="00154B63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>Manual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6C" w:rsidRPr="00754052" w:rsidRDefault="00F9096C" w:rsidP="006A7AFE">
            <w:pPr>
              <w:tabs>
                <w:tab w:val="left" w:pos="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Documento complementar à Rotina Administrativa (RAD) ou destinado a reunir informações acerca de aplicativos (</w:t>
            </w:r>
            <w:r w:rsidRPr="00754052">
              <w:rPr>
                <w:rFonts w:ascii="Arial" w:hAnsi="Arial" w:cs="Arial"/>
                <w:i/>
                <w:color w:val="000000"/>
                <w:sz w:val="18"/>
                <w:szCs w:val="18"/>
              </w:rPr>
              <w:t>softwares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), produtos, serviços, informações a usuários </w:t>
            </w:r>
            <w:r w:rsidR="00CD1AF6" w:rsidRPr="00754052">
              <w:rPr>
                <w:rFonts w:ascii="Arial" w:hAnsi="Arial" w:cs="Arial"/>
                <w:color w:val="000000"/>
                <w:sz w:val="18"/>
                <w:szCs w:val="18"/>
              </w:rPr>
              <w:t>interno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s ou externos que, por razões de ordem prática ou técnica, devam permanecer em separado da Rotina Administrativa.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6C" w:rsidRPr="00754052" w:rsidRDefault="00F9096C" w:rsidP="009926D3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A atribuição para emissão d</w:t>
            </w:r>
            <w:r w:rsidR="009926D3"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Manual é estabelecida na RAD-PJERJ-002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6C" w:rsidRPr="00754052" w:rsidRDefault="00A62391" w:rsidP="00154B63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="00CD1AF6" w:rsidRPr="00754052">
              <w:rPr>
                <w:rFonts w:ascii="Arial" w:hAnsi="Arial" w:cs="Arial"/>
                <w:color w:val="000000"/>
                <w:sz w:val="18"/>
                <w:szCs w:val="18"/>
              </w:rPr>
              <w:t>nterno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6C" w:rsidRPr="00754052" w:rsidRDefault="0020654E" w:rsidP="0020654E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="00F9096C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eículo 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F9096C" w:rsidRPr="00754052">
              <w:rPr>
                <w:rFonts w:ascii="Arial" w:hAnsi="Arial" w:cs="Arial"/>
                <w:color w:val="000000"/>
                <w:sz w:val="18"/>
                <w:szCs w:val="18"/>
              </w:rPr>
              <w:t>róprio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6C" w:rsidRPr="00754052" w:rsidRDefault="00CD1AF6" w:rsidP="00154B63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F9096C" w:rsidRPr="00754052">
              <w:rPr>
                <w:rFonts w:ascii="Arial" w:hAnsi="Arial" w:cs="Arial"/>
                <w:color w:val="000000"/>
                <w:sz w:val="18"/>
                <w:szCs w:val="18"/>
              </w:rPr>
              <w:t>dministrativa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6C" w:rsidRPr="00754052" w:rsidRDefault="00CD1AF6" w:rsidP="00154B63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F9096C" w:rsidRPr="00754052">
              <w:rPr>
                <w:rFonts w:ascii="Arial" w:hAnsi="Arial" w:cs="Arial"/>
                <w:color w:val="000000"/>
                <w:sz w:val="18"/>
                <w:szCs w:val="18"/>
              </w:rPr>
              <w:t>specífico</w:t>
            </w:r>
          </w:p>
        </w:tc>
      </w:tr>
      <w:tr w:rsidR="00F9096C" w:rsidRPr="00754052" w:rsidTr="00A60AEF">
        <w:trPr>
          <w:trHeight w:val="1062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6C" w:rsidRPr="00754052" w:rsidRDefault="00F9096C" w:rsidP="003E5683">
            <w:pPr>
              <w:tabs>
                <w:tab w:val="left" w:pos="0"/>
              </w:tabs>
              <w:spacing w:beforeLines="40" w:before="96" w:afterLines="40" w:after="96"/>
              <w:jc w:val="both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6C" w:rsidRPr="00754052" w:rsidRDefault="00F9096C" w:rsidP="00154B63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Convocação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6C" w:rsidRPr="00754052" w:rsidRDefault="00F9096C" w:rsidP="001025BD">
            <w:pPr>
              <w:tabs>
                <w:tab w:val="left" w:pos="0"/>
              </w:tabs>
              <w:spacing w:before="40"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Instrumento </w:t>
            </w:r>
            <w:r w:rsidR="00142075" w:rsidRPr="00754052">
              <w:rPr>
                <w:rFonts w:ascii="Arial" w:hAnsi="Arial" w:cs="Arial"/>
                <w:color w:val="000000"/>
                <w:sz w:val="18"/>
                <w:szCs w:val="18"/>
              </w:rPr>
              <w:t>por meio do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qual se convoca</w:t>
            </w:r>
            <w:r w:rsidR="00142075" w:rsidRPr="0075405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855CFD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magistrados, 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servidores</w:t>
            </w:r>
            <w:r w:rsidR="00855CFD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e</w:t>
            </w:r>
            <w:r w:rsidR="001025BD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agentes que são fiscalizados ou subordinados ao PJERJ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participar de atividades administrativas,</w:t>
            </w:r>
            <w:r w:rsidR="0020654E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bem como concursados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</w:t>
            </w:r>
            <w:r w:rsidR="00686A3D" w:rsidRPr="00754052">
              <w:rPr>
                <w:rFonts w:ascii="Arial" w:hAnsi="Arial" w:cs="Arial"/>
                <w:color w:val="000000"/>
                <w:sz w:val="18"/>
                <w:szCs w:val="18"/>
              </w:rPr>
              <w:t>o início do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estágio </w:t>
            </w:r>
            <w:r w:rsidR="00686A3D" w:rsidRPr="00754052">
              <w:rPr>
                <w:rFonts w:ascii="Arial" w:hAnsi="Arial" w:cs="Arial"/>
                <w:color w:val="000000"/>
                <w:sz w:val="18"/>
                <w:szCs w:val="18"/>
              </w:rPr>
              <w:t>probatório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6C" w:rsidRPr="00754052" w:rsidRDefault="00F9096C" w:rsidP="00686A3D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Presidente do </w:t>
            </w:r>
            <w:r w:rsidR="003765A4" w:rsidRPr="0075405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JERJ, Corregedor-Geral da Justiça, o </w:t>
            </w:r>
            <w:r w:rsidR="0020654E" w:rsidRPr="00754052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uiz de </w:t>
            </w:r>
            <w:r w:rsidR="0020654E" w:rsidRPr="00754052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ireito </w:t>
            </w:r>
            <w:r w:rsidR="0020654E" w:rsidRPr="00754052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irigente de Núcleo Regional e </w:t>
            </w:r>
            <w:r w:rsidR="0020654E" w:rsidRPr="0075405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agistrados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6C" w:rsidRPr="00754052" w:rsidRDefault="001025BD" w:rsidP="00154B63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interno/ externo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6C" w:rsidRPr="00754052" w:rsidRDefault="00F9096C" w:rsidP="00154B63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Diário da Justiça Eletrônico (DJERJ)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6C" w:rsidRPr="00754052" w:rsidRDefault="00CD1AF6" w:rsidP="00154B63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F9096C" w:rsidRPr="00754052">
              <w:rPr>
                <w:rFonts w:ascii="Arial" w:hAnsi="Arial" w:cs="Arial"/>
                <w:color w:val="000000"/>
                <w:sz w:val="18"/>
                <w:szCs w:val="18"/>
              </w:rPr>
              <w:t>dministrativa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6C" w:rsidRPr="00754052" w:rsidRDefault="00CD1AF6" w:rsidP="00154B63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F9096C" w:rsidRPr="00754052">
              <w:rPr>
                <w:rFonts w:ascii="Arial" w:hAnsi="Arial" w:cs="Arial"/>
                <w:color w:val="000000"/>
                <w:sz w:val="18"/>
                <w:szCs w:val="18"/>
              </w:rPr>
              <w:t>specífico</w:t>
            </w:r>
          </w:p>
        </w:tc>
      </w:tr>
      <w:tr w:rsidR="002D0A55" w:rsidRPr="00754052" w:rsidTr="00DA7781">
        <w:trPr>
          <w:trHeight w:val="6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A55" w:rsidRPr="00754052" w:rsidRDefault="002D0A55" w:rsidP="00710C68">
            <w:pPr>
              <w:tabs>
                <w:tab w:val="left" w:pos="-2913"/>
              </w:tabs>
              <w:spacing w:beforeLines="40" w:before="96" w:afterLines="40" w:after="96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710C68">
            <w:pPr>
              <w:tabs>
                <w:tab w:val="left" w:pos="-2913"/>
              </w:tabs>
              <w:spacing w:beforeLines="40" w:before="96" w:afterLines="40" w:after="96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710C68">
            <w:pPr>
              <w:tabs>
                <w:tab w:val="left" w:pos="-2913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754052">
              <w:rPr>
                <w:rFonts w:ascii="Arial" w:hAnsi="Arial" w:cs="Arial"/>
                <w:b/>
                <w:color w:val="000000"/>
                <w:sz w:val="17"/>
                <w:szCs w:val="17"/>
              </w:rPr>
              <w:t>COMUNICAÇÃO/ INFORMAÇÃO</w:t>
            </w:r>
          </w:p>
          <w:p w:rsidR="002D0A55" w:rsidRPr="00754052" w:rsidRDefault="002D0A55" w:rsidP="00710C68">
            <w:pPr>
              <w:tabs>
                <w:tab w:val="left" w:pos="-2913"/>
              </w:tabs>
              <w:spacing w:beforeLines="40" w:before="96" w:afterLines="40" w:after="96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710C68">
            <w:pPr>
              <w:tabs>
                <w:tab w:val="left" w:pos="-2913"/>
              </w:tabs>
              <w:spacing w:beforeLines="40" w:before="96" w:afterLines="40" w:after="96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710C68">
            <w:pPr>
              <w:tabs>
                <w:tab w:val="left" w:pos="-2913"/>
              </w:tabs>
              <w:spacing w:beforeLines="40" w:before="96" w:afterLines="40" w:after="96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710C68">
            <w:pPr>
              <w:tabs>
                <w:tab w:val="left" w:pos="-2913"/>
              </w:tabs>
              <w:spacing w:beforeLines="40" w:before="96" w:afterLines="40" w:after="96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710C68">
            <w:pPr>
              <w:tabs>
                <w:tab w:val="left" w:pos="-2913"/>
              </w:tabs>
              <w:spacing w:beforeLines="40" w:before="96" w:afterLines="40" w:after="96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710C68">
            <w:pPr>
              <w:tabs>
                <w:tab w:val="left" w:pos="-2913"/>
              </w:tabs>
              <w:spacing w:beforeLines="40" w:before="96" w:afterLines="40" w:after="96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710C68">
            <w:pPr>
              <w:tabs>
                <w:tab w:val="left" w:pos="-2913"/>
              </w:tabs>
              <w:spacing w:beforeLines="40" w:before="96" w:afterLines="40" w:after="96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710C68">
            <w:pPr>
              <w:tabs>
                <w:tab w:val="left" w:pos="-2913"/>
              </w:tabs>
              <w:spacing w:beforeLines="40" w:before="96" w:afterLines="40" w:after="96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710C68">
            <w:pPr>
              <w:tabs>
                <w:tab w:val="left" w:pos="-2913"/>
              </w:tabs>
              <w:spacing w:beforeLines="40" w:before="96" w:afterLines="40" w:after="96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710C68">
            <w:pPr>
              <w:tabs>
                <w:tab w:val="left" w:pos="-2913"/>
              </w:tabs>
              <w:spacing w:beforeLines="40" w:before="96" w:afterLines="40" w:after="96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710C68">
            <w:pPr>
              <w:tabs>
                <w:tab w:val="left" w:pos="-2913"/>
              </w:tabs>
              <w:spacing w:beforeLines="40" w:before="96" w:afterLines="40" w:after="96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710C68">
            <w:pPr>
              <w:tabs>
                <w:tab w:val="left" w:pos="-2913"/>
              </w:tabs>
              <w:spacing w:beforeLines="40" w:before="96" w:afterLines="40" w:after="96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710C68">
            <w:pPr>
              <w:tabs>
                <w:tab w:val="left" w:pos="-2913"/>
              </w:tabs>
              <w:spacing w:beforeLines="40" w:before="96" w:afterLines="40" w:after="96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710C68">
            <w:pPr>
              <w:tabs>
                <w:tab w:val="left" w:pos="-2913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710C68">
            <w:pPr>
              <w:tabs>
                <w:tab w:val="left" w:pos="-2913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22491F">
            <w:pPr>
              <w:tabs>
                <w:tab w:val="left" w:pos="-2913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754052">
              <w:rPr>
                <w:rFonts w:ascii="Arial" w:hAnsi="Arial" w:cs="Arial"/>
                <w:b/>
                <w:color w:val="000000"/>
                <w:sz w:val="17"/>
                <w:szCs w:val="17"/>
              </w:rPr>
              <w:t>COMUNICAÇÃO/ INFORMAÇÃO</w:t>
            </w:r>
          </w:p>
          <w:p w:rsidR="002D0A55" w:rsidRPr="00754052" w:rsidRDefault="002D0A55" w:rsidP="00710C68">
            <w:pPr>
              <w:tabs>
                <w:tab w:val="left" w:pos="-2913"/>
              </w:tabs>
              <w:spacing w:beforeLines="40" w:before="96" w:afterLines="40" w:after="96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710C68">
            <w:pPr>
              <w:tabs>
                <w:tab w:val="left" w:pos="-2913"/>
              </w:tabs>
              <w:spacing w:beforeLines="40" w:before="96" w:afterLines="40" w:after="96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A60AEF">
            <w:pPr>
              <w:tabs>
                <w:tab w:val="left" w:pos="-2913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A60AEF">
            <w:pPr>
              <w:tabs>
                <w:tab w:val="left" w:pos="-2913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A60AEF">
            <w:pPr>
              <w:tabs>
                <w:tab w:val="left" w:pos="-2913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A60AEF">
            <w:pPr>
              <w:tabs>
                <w:tab w:val="left" w:pos="-2913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A60AEF">
            <w:pPr>
              <w:tabs>
                <w:tab w:val="left" w:pos="-2913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A60AEF">
            <w:pPr>
              <w:tabs>
                <w:tab w:val="left" w:pos="-2913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A60AEF">
            <w:pPr>
              <w:tabs>
                <w:tab w:val="left" w:pos="-2913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A60AEF">
            <w:pPr>
              <w:tabs>
                <w:tab w:val="left" w:pos="-2913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A60AEF">
            <w:pPr>
              <w:tabs>
                <w:tab w:val="left" w:pos="-2913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A60AEF">
            <w:pPr>
              <w:tabs>
                <w:tab w:val="left" w:pos="-2913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A60AEF">
            <w:pPr>
              <w:tabs>
                <w:tab w:val="left" w:pos="-2913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A60AEF">
            <w:pPr>
              <w:tabs>
                <w:tab w:val="left" w:pos="-2913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A60AEF">
            <w:pPr>
              <w:tabs>
                <w:tab w:val="left" w:pos="-2913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A60AEF">
            <w:pPr>
              <w:tabs>
                <w:tab w:val="left" w:pos="-2913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A60AEF">
            <w:pPr>
              <w:tabs>
                <w:tab w:val="left" w:pos="-2913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  <w:p w:rsidR="002D0A55" w:rsidRPr="00754052" w:rsidRDefault="002D0A55" w:rsidP="00A60AEF">
            <w:pPr>
              <w:tabs>
                <w:tab w:val="left" w:pos="-2913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754052">
              <w:rPr>
                <w:rFonts w:ascii="Arial" w:hAnsi="Arial" w:cs="Arial"/>
                <w:b/>
                <w:color w:val="000000"/>
                <w:sz w:val="17"/>
                <w:szCs w:val="17"/>
              </w:rPr>
              <w:t>COMUNICAÇÃO/ INFORMAÇÃO</w:t>
            </w:r>
          </w:p>
          <w:p w:rsidR="002D0A55" w:rsidRPr="00754052" w:rsidRDefault="002D0A55" w:rsidP="003E5683">
            <w:pPr>
              <w:tabs>
                <w:tab w:val="left" w:pos="0"/>
              </w:tabs>
              <w:spacing w:beforeLines="40" w:before="96" w:afterLines="40" w:after="96"/>
              <w:jc w:val="both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55" w:rsidRPr="00754052" w:rsidRDefault="00DA7781" w:rsidP="00DA7781">
            <w:pPr>
              <w:tabs>
                <w:tab w:val="left" w:pos="-2913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Aviso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55" w:rsidRPr="00754052" w:rsidRDefault="002D0A55" w:rsidP="003659E1">
            <w:pPr>
              <w:tabs>
                <w:tab w:val="left" w:pos="-2913"/>
              </w:tabs>
              <w:spacing w:before="40"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Instrumento de divulgação</w:t>
            </w:r>
            <w:r w:rsidR="00A246AA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de notícias de interesse geral,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ou orientações uniformizadas voltadas </w:t>
            </w:r>
            <w:r w:rsidR="00686A3D" w:rsidRPr="0075405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grupos ou atividades específicos, no</w:t>
            </w:r>
            <w:r w:rsidR="00686A3D" w:rsidRPr="00754052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âmbito</w:t>
            </w:r>
            <w:r w:rsidR="00686A3D" w:rsidRPr="00754052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D1AF6" w:rsidRPr="00754052">
              <w:rPr>
                <w:rFonts w:ascii="Arial" w:hAnsi="Arial" w:cs="Arial"/>
                <w:color w:val="000000"/>
                <w:sz w:val="18"/>
                <w:szCs w:val="18"/>
              </w:rPr>
              <w:t>interno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e externo.</w:t>
            </w:r>
          </w:p>
          <w:p w:rsidR="002D0A55" w:rsidRPr="00754052" w:rsidRDefault="002D0A55" w:rsidP="00FB1D9F">
            <w:pPr>
              <w:tabs>
                <w:tab w:val="left" w:pos="-2913"/>
              </w:tabs>
              <w:spacing w:before="40"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OBS.: </w:t>
            </w:r>
            <w:r w:rsidR="00FB1D9F" w:rsidRPr="00754052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D3EA3" w:rsidRPr="0075405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viso será conjunto quando veicular a manifestação de mais de um agente da </w:t>
            </w:r>
            <w:r w:rsidR="009926D3" w:rsidRPr="0075405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dministração.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55" w:rsidRPr="00754052" w:rsidRDefault="002D0A55" w:rsidP="0020654E">
            <w:pPr>
              <w:tabs>
                <w:tab w:val="left" w:pos="-2913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Presidente do </w:t>
            </w:r>
            <w:r w:rsidR="003765A4" w:rsidRPr="0075405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JERJ, Corregedor-Geral da Justiça, </w:t>
            </w:r>
            <w:r w:rsidR="0020654E" w:rsidRPr="0075405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agistrados, </w:t>
            </w:r>
            <w:r w:rsidR="0020654E" w:rsidRPr="00754052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iretores-</w:t>
            </w:r>
            <w:r w:rsidR="0020654E" w:rsidRPr="00754052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erais e demais dirigentes das </w:t>
            </w:r>
            <w:r w:rsidR="0020654E" w:rsidRPr="00754052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nidades </w:t>
            </w:r>
            <w:r w:rsidR="0020654E"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xecutoras da Administração Superior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55" w:rsidRPr="00754052" w:rsidRDefault="00CD1AF6" w:rsidP="00CD1AF6">
            <w:pPr>
              <w:tabs>
                <w:tab w:val="left" w:pos="-2913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interno</w:t>
            </w:r>
            <w:r w:rsidR="002D0A55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2D0A55" w:rsidRPr="00754052">
              <w:rPr>
                <w:rFonts w:ascii="Arial" w:hAnsi="Arial" w:cs="Arial"/>
                <w:color w:val="000000"/>
                <w:sz w:val="18"/>
                <w:szCs w:val="18"/>
              </w:rPr>
              <w:t>xterno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55" w:rsidRPr="00754052" w:rsidRDefault="002D0A55" w:rsidP="00710C68">
            <w:pPr>
              <w:tabs>
                <w:tab w:val="left" w:pos="-2913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Diário da Justiça Eletrônico (DJERJ)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55" w:rsidRPr="00754052" w:rsidRDefault="00CD1AF6" w:rsidP="00710C68">
            <w:pPr>
              <w:tabs>
                <w:tab w:val="left" w:pos="-2913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2D0A55" w:rsidRPr="00754052">
              <w:rPr>
                <w:rFonts w:ascii="Arial" w:hAnsi="Arial" w:cs="Arial"/>
                <w:color w:val="000000"/>
                <w:sz w:val="18"/>
                <w:szCs w:val="18"/>
              </w:rPr>
              <w:t>dministrativa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55" w:rsidRPr="00754052" w:rsidRDefault="00CD1AF6" w:rsidP="00CD1AF6">
            <w:pPr>
              <w:tabs>
                <w:tab w:val="left" w:pos="0"/>
                <w:tab w:val="left" w:pos="1343"/>
              </w:tabs>
              <w:spacing w:before="40" w:after="40"/>
              <w:ind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="002D0A55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enérico/ 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2D0A55" w:rsidRPr="00754052">
              <w:rPr>
                <w:rFonts w:ascii="Arial" w:hAnsi="Arial" w:cs="Arial"/>
                <w:color w:val="000000"/>
                <w:sz w:val="18"/>
                <w:szCs w:val="18"/>
              </w:rPr>
              <w:t>specífico</w:t>
            </w:r>
          </w:p>
        </w:tc>
      </w:tr>
      <w:tr w:rsidR="00072EB9" w:rsidRPr="00754052" w:rsidTr="00A60AEF">
        <w:trPr>
          <w:trHeight w:hRule="exact" w:val="170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EB9" w:rsidRPr="00754052" w:rsidRDefault="00072EB9" w:rsidP="003E5683">
            <w:pPr>
              <w:tabs>
                <w:tab w:val="left" w:pos="0"/>
              </w:tabs>
              <w:spacing w:beforeLines="40" w:before="96" w:afterLines="40" w:after="96"/>
              <w:jc w:val="both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072EB9">
            <w:pPr>
              <w:tabs>
                <w:tab w:val="left" w:pos="-2913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Convite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855CFD">
            <w:pPr>
              <w:tabs>
                <w:tab w:val="left" w:pos="-2913"/>
              </w:tabs>
              <w:spacing w:before="40"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Instrumento pelo qual se convida</w:t>
            </w:r>
            <w:r w:rsidR="00A246AA" w:rsidRPr="0075405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magistrad</w:t>
            </w:r>
            <w:r w:rsidR="00A246AA" w:rsidRPr="00754052">
              <w:rPr>
                <w:rFonts w:ascii="Arial" w:hAnsi="Arial" w:cs="Arial"/>
                <w:color w:val="000000"/>
                <w:sz w:val="18"/>
                <w:szCs w:val="18"/>
              </w:rPr>
              <w:t>os</w:t>
            </w:r>
            <w:r w:rsidR="00855CFD" w:rsidRPr="0075405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246AA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servidores </w:t>
            </w:r>
            <w:r w:rsidR="003A6C0D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e demais interessados </w:t>
            </w:r>
            <w:r w:rsidR="00A246AA" w:rsidRPr="00754052">
              <w:rPr>
                <w:rFonts w:ascii="Arial" w:hAnsi="Arial" w:cs="Arial"/>
                <w:color w:val="000000"/>
                <w:sz w:val="18"/>
                <w:szCs w:val="18"/>
              </w:rPr>
              <w:t>para participar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de atividades administrativas.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20654E">
            <w:pPr>
              <w:tabs>
                <w:tab w:val="left" w:pos="-2913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Presidente do </w:t>
            </w:r>
            <w:r w:rsidR="003765A4" w:rsidRPr="0075405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JERJ, Corregedor-Geral da Justiça, </w:t>
            </w:r>
            <w:r w:rsidR="0020654E" w:rsidRPr="0075405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agistrados, </w:t>
            </w:r>
            <w:r w:rsidR="0020654E" w:rsidRPr="00754052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iretores-</w:t>
            </w:r>
            <w:r w:rsidR="0020654E" w:rsidRPr="00754052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erais e demais dirigentes das </w:t>
            </w:r>
            <w:r w:rsidR="0020654E" w:rsidRPr="00754052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nidades </w:t>
            </w:r>
            <w:r w:rsidR="0020654E"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xecutoras da Administração Superior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3A6C0D" w:rsidP="00072EB9">
            <w:pPr>
              <w:tabs>
                <w:tab w:val="left" w:pos="-2913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="00CD1AF6" w:rsidRPr="00754052">
              <w:rPr>
                <w:rFonts w:ascii="Arial" w:hAnsi="Arial" w:cs="Arial"/>
                <w:color w:val="000000"/>
                <w:sz w:val="18"/>
                <w:szCs w:val="18"/>
              </w:rPr>
              <w:t>nterno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/ externo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20654E" w:rsidP="0020654E">
            <w:pPr>
              <w:tabs>
                <w:tab w:val="left" w:pos="-2913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eículo 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róprio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, impresso ou eletrônico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CD1AF6" w:rsidP="00072EB9">
            <w:pPr>
              <w:tabs>
                <w:tab w:val="left" w:pos="-2913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dministrativa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CD1AF6" w:rsidP="00072EB9">
            <w:pPr>
              <w:tabs>
                <w:tab w:val="left" w:pos="0"/>
                <w:tab w:val="left" w:pos="1343"/>
              </w:tabs>
              <w:spacing w:before="40" w:after="40"/>
              <w:ind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specífico</w:t>
            </w:r>
          </w:p>
        </w:tc>
      </w:tr>
      <w:tr w:rsidR="00072EB9" w:rsidRPr="00754052" w:rsidTr="002D0A55">
        <w:trPr>
          <w:trHeight w:val="219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EB9" w:rsidRPr="00754052" w:rsidRDefault="00072EB9" w:rsidP="003E5683">
            <w:pPr>
              <w:tabs>
                <w:tab w:val="left" w:pos="0"/>
              </w:tabs>
              <w:spacing w:beforeLines="40" w:before="96" w:afterLines="40" w:after="96"/>
              <w:jc w:val="both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072EB9">
            <w:pPr>
              <w:tabs>
                <w:tab w:val="left" w:pos="-2913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>Ofício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072EB9">
            <w:pPr>
              <w:tabs>
                <w:tab w:val="left" w:pos="-2913"/>
              </w:tabs>
              <w:spacing w:before="40"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="00A246AA" w:rsidRPr="00754052">
              <w:rPr>
                <w:rFonts w:ascii="Arial" w:hAnsi="Arial" w:cs="Arial"/>
                <w:color w:val="000000"/>
                <w:sz w:val="18"/>
                <w:szCs w:val="18"/>
              </w:rPr>
              <w:t>nstrumento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utilizado para comunicações</w:t>
            </w:r>
            <w:r w:rsidR="0020654E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exclusivamente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externas, que estabelece a comunicação com agentes que não integram a estrutura administrativa do Poder Judiciário do Estado do Rio de Janeiro, podendo conter solicitações, recomendações ou informações.</w:t>
            </w:r>
          </w:p>
          <w:p w:rsidR="00072EB9" w:rsidRPr="00754052" w:rsidRDefault="00072EB9" w:rsidP="00A62391">
            <w:pPr>
              <w:tabs>
                <w:tab w:val="left" w:pos="-2913"/>
              </w:tabs>
              <w:spacing w:before="40"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OBS.: </w:t>
            </w:r>
            <w:r w:rsidR="00A62391" w:rsidRPr="00754052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D3EA3" w:rsidRPr="00754052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fício, quando endereçado a vários destinatários, denomina-se </w:t>
            </w:r>
            <w:r w:rsidR="00A62391" w:rsidRPr="00754052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fício-</w:t>
            </w:r>
            <w:r w:rsidR="00A62391" w:rsidRPr="00754052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ircular.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1559D3">
            <w:pPr>
              <w:tabs>
                <w:tab w:val="left" w:pos="-2913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Presidente do </w:t>
            </w:r>
            <w:r w:rsidR="003765A4" w:rsidRPr="0075405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JERJ, Corregedor-Geral da Justiça, </w:t>
            </w:r>
            <w:r w:rsidR="0020654E" w:rsidRPr="0075405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agistrados, </w:t>
            </w:r>
            <w:r w:rsidR="0020654E" w:rsidRPr="00754052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iretores-</w:t>
            </w:r>
            <w:r w:rsidR="0020654E" w:rsidRPr="00754052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erais e demais dirigentes d</w:t>
            </w:r>
            <w:r w:rsidR="001559D3"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654E" w:rsidRPr="00754052">
              <w:rPr>
                <w:rFonts w:ascii="Arial" w:hAnsi="Arial" w:cs="Arial"/>
                <w:color w:val="000000"/>
                <w:sz w:val="18"/>
                <w:szCs w:val="18"/>
              </w:rPr>
              <w:t>u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nidades </w:t>
            </w:r>
            <w:r w:rsidR="0020654E"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xecutoras da Administração Superior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CD1AF6" w:rsidP="00072EB9">
            <w:pPr>
              <w:tabs>
                <w:tab w:val="left" w:pos="-2913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xterno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F41CA7" w:rsidP="00072EB9">
            <w:pPr>
              <w:tabs>
                <w:tab w:val="left" w:pos="-2913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veículo próprio, impresso ou eletrônico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CD1AF6" w:rsidP="00072EB9">
            <w:pPr>
              <w:tabs>
                <w:tab w:val="left" w:pos="-2913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judiciária/ a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dministrativa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CD1AF6" w:rsidP="00072EB9">
            <w:pPr>
              <w:tabs>
                <w:tab w:val="left" w:pos="0"/>
                <w:tab w:val="left" w:pos="1343"/>
              </w:tabs>
              <w:spacing w:before="40" w:after="40"/>
              <w:ind w:righ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specífico</w:t>
            </w:r>
          </w:p>
        </w:tc>
      </w:tr>
      <w:tr w:rsidR="00072EB9" w:rsidRPr="00754052" w:rsidTr="00A60AEF">
        <w:trPr>
          <w:trHeight w:val="255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EB9" w:rsidRPr="00754052" w:rsidRDefault="00072EB9" w:rsidP="003E5683">
            <w:pPr>
              <w:tabs>
                <w:tab w:val="left" w:pos="0"/>
              </w:tabs>
              <w:spacing w:beforeLines="40" w:before="96" w:afterLines="40" w:after="96"/>
              <w:jc w:val="both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072EB9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>Memorando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072EB9">
            <w:pPr>
              <w:tabs>
                <w:tab w:val="left" w:pos="0"/>
              </w:tabs>
              <w:spacing w:before="40"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Instrumento que estabelece a comunicação interna entre os agentes da </w:t>
            </w:r>
            <w:r w:rsidR="005C62CA" w:rsidRPr="0075405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dministração, podendo conter solicitações, recomendações ou informações.</w:t>
            </w:r>
          </w:p>
          <w:p w:rsidR="00072EB9" w:rsidRPr="00754052" w:rsidRDefault="00072EB9" w:rsidP="00A62391">
            <w:pPr>
              <w:tabs>
                <w:tab w:val="left" w:pos="0"/>
              </w:tabs>
              <w:spacing w:before="40"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OBS.: </w:t>
            </w:r>
            <w:r w:rsidR="00A62391" w:rsidRPr="00754052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E514A" w:rsidRPr="0075405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emorando, quando endereçado a vários destinatários, denomina-se Memorando-Circular.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F41CA7" w:rsidP="00072EB9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gente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da Administração, no âmbito de suas 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respectivas 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atribuições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CD1AF6" w:rsidP="00072EB9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interno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6B" w:rsidRPr="00754052" w:rsidRDefault="009C076B" w:rsidP="009C076B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Preferencialmente, por correio eletrônico</w:t>
            </w:r>
            <w:r w:rsidR="00A246AA" w:rsidRPr="0075405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com a solicitação de confirmação de entrega ao destinatário, que configurará sua ciência da informação, incluindo o efeito do início da contagem de prazo.</w:t>
            </w:r>
          </w:p>
          <w:p w:rsidR="00072EB9" w:rsidRPr="00754052" w:rsidRDefault="009C076B" w:rsidP="009C076B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Quando houver anexos que não possam ser digitalizados, o memorando deve seguir via sistema corporativo de protocolo administrativo.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CD1AF6" w:rsidP="00072EB9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dministrativa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CD1AF6" w:rsidP="00072EB9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specífico</w:t>
            </w:r>
          </w:p>
        </w:tc>
      </w:tr>
      <w:tr w:rsidR="00072EB9" w:rsidRPr="00754052" w:rsidTr="00A60AEF">
        <w:trPr>
          <w:trHeight w:val="195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EB9" w:rsidRPr="00754052" w:rsidRDefault="00072EB9" w:rsidP="003E5683">
            <w:pPr>
              <w:tabs>
                <w:tab w:val="left" w:pos="0"/>
              </w:tabs>
              <w:spacing w:beforeLines="40" w:before="96" w:afterLines="40" w:after="96"/>
              <w:jc w:val="both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072EB9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F41CA7">
            <w:pPr>
              <w:tabs>
                <w:tab w:val="left" w:pos="0"/>
              </w:tabs>
              <w:spacing w:before="40"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Instrumento que estabelece a comunicação interna entre os agentes da </w:t>
            </w:r>
            <w:r w:rsidR="00F41CA7" w:rsidRPr="0075405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dministração, podendo conter solicitações, recomendações, aprovações, determinações ou informações.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F41CA7" w:rsidP="00072EB9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gente</w:t>
            </w:r>
            <w:r w:rsidR="00A246AA" w:rsidRPr="00754052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da Administração, no âmbito de suas 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respectivas 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atribuições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CD1AF6" w:rsidP="00072EB9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interno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:rsidR="00072EB9" w:rsidRPr="00754052" w:rsidRDefault="00CD1AF6" w:rsidP="00CD1AF6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xterno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A62391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As comunicações por e-mail entre </w:t>
            </w:r>
            <w:r w:rsidR="00F41CA7" w:rsidRPr="00754052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essoas, </w:t>
            </w:r>
            <w:r w:rsidR="00F41CA7" w:rsidRPr="00754052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erventias, </w:t>
            </w:r>
            <w:r w:rsidR="00F41CA7" w:rsidRPr="00754052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ecretarias e demais </w:t>
            </w:r>
            <w:r w:rsidR="00A62391" w:rsidRPr="00754052">
              <w:rPr>
                <w:rFonts w:ascii="Arial" w:hAnsi="Arial" w:cs="Arial"/>
                <w:color w:val="000000"/>
                <w:sz w:val="18"/>
                <w:szCs w:val="18"/>
              </w:rPr>
              <w:t>ó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rgãos do PJERJ terão o mesmo efeito d</w:t>
            </w:r>
            <w:r w:rsidR="00F41CA7" w:rsidRPr="0075405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41CA7" w:rsidRPr="00754052">
              <w:rPr>
                <w:rFonts w:ascii="Arial" w:hAnsi="Arial" w:cs="Arial"/>
                <w:color w:val="000000"/>
                <w:sz w:val="18"/>
                <w:szCs w:val="18"/>
              </w:rPr>
              <w:t>entrega pessoal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. A confirmação eletrônica de entrega configura ciência da informação pelo destinatário, incluindo o efeito do início da contagem de prazo.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CD1AF6" w:rsidP="00CD1AF6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udiciária/ 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dministrativa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CD1AF6" w:rsidP="00CD1AF6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enérico/ 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specífico</w:t>
            </w:r>
          </w:p>
        </w:tc>
      </w:tr>
      <w:tr w:rsidR="002D0A55" w:rsidRPr="00754052" w:rsidTr="008D1CEE">
        <w:trPr>
          <w:trHeight w:val="152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A55" w:rsidRPr="00754052" w:rsidRDefault="002D0A55" w:rsidP="00A60AEF">
            <w:pPr>
              <w:tabs>
                <w:tab w:val="left" w:pos="-2913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55" w:rsidRPr="00754052" w:rsidRDefault="002D0A55" w:rsidP="00154B63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Comunicado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55" w:rsidRPr="00754052" w:rsidRDefault="002D0A55" w:rsidP="00154B63">
            <w:pPr>
              <w:tabs>
                <w:tab w:val="left" w:pos="0"/>
              </w:tabs>
              <w:spacing w:before="40"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Instrumento pelo qual se comunica aos magistrados, servidores e demais interessados informações referentes a entes, instituições ou órgãos externos ao Poder Judiciário do Estado do Rio de Janeiro.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55" w:rsidRPr="00754052" w:rsidRDefault="002D0A55" w:rsidP="00154B63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Gabinete da Presidência do Tribunal de Justiça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55" w:rsidRPr="00754052" w:rsidRDefault="00CD1AF6" w:rsidP="00154B63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interno</w:t>
            </w:r>
            <w:r w:rsidR="002D0A55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2D0A55" w:rsidRPr="00754052">
              <w:rPr>
                <w:rFonts w:ascii="Arial" w:hAnsi="Arial" w:cs="Arial"/>
                <w:color w:val="000000"/>
                <w:sz w:val="18"/>
                <w:szCs w:val="18"/>
              </w:rPr>
              <w:t>xterno</w:t>
            </w:r>
          </w:p>
          <w:p w:rsidR="002D0A55" w:rsidRPr="00754052" w:rsidRDefault="002D0A55" w:rsidP="00154B63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55" w:rsidRPr="00754052" w:rsidRDefault="00EC30A6" w:rsidP="00EC30A6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="002D0A55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eículo 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2D0A55" w:rsidRPr="00754052">
              <w:rPr>
                <w:rFonts w:ascii="Arial" w:hAnsi="Arial" w:cs="Arial"/>
                <w:color w:val="000000"/>
                <w:sz w:val="18"/>
                <w:szCs w:val="18"/>
              </w:rPr>
              <w:t>róprio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55" w:rsidRPr="00754052" w:rsidRDefault="00CD1AF6" w:rsidP="005D09AF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judiciária/ a</w:t>
            </w:r>
            <w:r w:rsidR="002D0A55" w:rsidRPr="00754052">
              <w:rPr>
                <w:rFonts w:ascii="Arial" w:hAnsi="Arial" w:cs="Arial"/>
                <w:color w:val="000000"/>
                <w:sz w:val="18"/>
                <w:szCs w:val="18"/>
              </w:rPr>
              <w:t>dministrativa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A55" w:rsidRPr="00754052" w:rsidRDefault="00CD1AF6" w:rsidP="00CD1AF6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="002D0A55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enérico/ 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2D0A55" w:rsidRPr="00754052">
              <w:rPr>
                <w:rFonts w:ascii="Arial" w:hAnsi="Arial" w:cs="Arial"/>
                <w:color w:val="000000"/>
                <w:sz w:val="18"/>
                <w:szCs w:val="18"/>
              </w:rPr>
              <w:t>specífico</w:t>
            </w:r>
          </w:p>
        </w:tc>
      </w:tr>
      <w:tr w:rsidR="00072EB9" w:rsidRPr="00754052" w:rsidTr="00A60AEF">
        <w:trPr>
          <w:trHeight w:val="100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543AE3">
            <w:pPr>
              <w:tabs>
                <w:tab w:val="left" w:pos="0"/>
              </w:tabs>
              <w:spacing w:before="40" w:after="40"/>
              <w:ind w:firstLine="34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754052">
              <w:rPr>
                <w:rFonts w:ascii="Arial" w:hAnsi="Arial" w:cs="Arial"/>
                <w:b/>
                <w:color w:val="000000"/>
                <w:sz w:val="17"/>
                <w:szCs w:val="17"/>
              </w:rPr>
              <w:t>AFIRMAÇÃO/ COMPROVAÇÃO MANIFESTAÇÃO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072EB9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Parecer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EC30A6">
            <w:pPr>
              <w:tabs>
                <w:tab w:val="left" w:pos="0"/>
              </w:tabs>
              <w:spacing w:before="40"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Instrumento para expor manifestação técnica ou jurídica sobre matéria versada em processo administrativo, com caráter meramente opinativo, salvo quando </w:t>
            </w:r>
            <w:r w:rsidR="00EC30A6" w:rsidRPr="00754052">
              <w:rPr>
                <w:rFonts w:ascii="Arial" w:hAnsi="Arial" w:cs="Arial"/>
                <w:color w:val="000000"/>
                <w:sz w:val="18"/>
                <w:szCs w:val="18"/>
              </w:rPr>
              <w:t>norma legal lhe atribuir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caráter vinculante.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EC30A6" w:rsidP="00EC30A6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agistrados e 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gente</w:t>
            </w:r>
            <w:r w:rsidR="00A246AA" w:rsidRPr="00754052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da Administração, no âmbito de suas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respectivas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atribuições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CD1AF6" w:rsidP="00072EB9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interno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:rsidR="00072EB9" w:rsidRPr="00754052" w:rsidRDefault="00CD1AF6" w:rsidP="00072EB9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xterno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EC30A6" w:rsidP="00EC30A6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eículo 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róprio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CD1AF6" w:rsidP="00072EB9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dministrativa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CD1AF6" w:rsidP="00072EB9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specífico</w:t>
            </w:r>
          </w:p>
        </w:tc>
      </w:tr>
      <w:tr w:rsidR="00072EB9" w:rsidRPr="00754052" w:rsidTr="00A60AEF">
        <w:trPr>
          <w:trHeight w:val="100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D5267D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072EB9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>Certidão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A246AA">
            <w:pPr>
              <w:tabs>
                <w:tab w:val="left" w:pos="0"/>
              </w:tabs>
              <w:spacing w:before="40"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Instrumento </w:t>
            </w:r>
            <w:r w:rsidR="00A246AA" w:rsidRPr="00754052">
              <w:rPr>
                <w:rFonts w:ascii="Arial" w:hAnsi="Arial" w:cs="Arial"/>
                <w:color w:val="000000"/>
                <w:sz w:val="18"/>
                <w:szCs w:val="18"/>
              </w:rPr>
              <w:t>por meio do</w:t>
            </w:r>
            <w:r w:rsidR="000532F3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qual a A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dministração afirma a existência de fatos ou de situações que constam de assentamentos públicos.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EC30A6" w:rsidP="00072EB9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gente</w:t>
            </w:r>
            <w:r w:rsidR="00A246AA" w:rsidRPr="00754052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da Administração, com acesso ao respectivo assentamento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CD1AF6" w:rsidP="00CD1AF6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interno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xterno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EC30A6" w:rsidP="00072EB9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veículo próprio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CD1AF6" w:rsidP="00072EB9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judiciária/ a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dministrativa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CD1AF6" w:rsidP="00072EB9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specífico</w:t>
            </w:r>
          </w:p>
        </w:tc>
      </w:tr>
      <w:tr w:rsidR="00072EB9" w:rsidRPr="00754052" w:rsidTr="008D1CEE">
        <w:trPr>
          <w:trHeight w:val="98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D5267D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072EB9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>Atestado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A246AA">
            <w:pPr>
              <w:tabs>
                <w:tab w:val="left" w:pos="0"/>
              </w:tabs>
              <w:spacing w:before="40"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É a afirmação da existência de uma situação ou de um fato, segundo constatação pessoal ou valoração do agente</w:t>
            </w:r>
            <w:r w:rsidR="00A246AA" w:rsidRPr="0075405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e que não conste de qualquer livro, pasta ou documento em poder da Instituição.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EC30A6" w:rsidP="00072EB9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gente</w:t>
            </w:r>
            <w:r w:rsidR="00A246AA" w:rsidRPr="00754052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da Administração, no âmbito de suas 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respectivas 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atribuições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CD1AF6" w:rsidP="00CD1AF6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interno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xterno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EC30A6" w:rsidP="00072EB9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veículo próprio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CD1AF6" w:rsidP="00072EB9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dministrativa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CD1AF6" w:rsidP="00072EB9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072EB9" w:rsidRPr="00754052">
              <w:rPr>
                <w:rFonts w:ascii="Arial" w:hAnsi="Arial" w:cs="Arial"/>
                <w:color w:val="000000"/>
                <w:sz w:val="18"/>
                <w:szCs w:val="18"/>
              </w:rPr>
              <w:t>specífico</w:t>
            </w:r>
          </w:p>
        </w:tc>
      </w:tr>
    </w:tbl>
    <w:p w:rsidR="002D0A55" w:rsidRPr="00754052" w:rsidRDefault="002D0A55" w:rsidP="00257E83">
      <w:pPr>
        <w:tabs>
          <w:tab w:val="left" w:pos="0"/>
        </w:tabs>
        <w:ind w:left="71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D0A55" w:rsidRPr="00754052" w:rsidRDefault="002D0A55" w:rsidP="00257E83">
      <w:pPr>
        <w:tabs>
          <w:tab w:val="left" w:pos="0"/>
        </w:tabs>
        <w:ind w:left="71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D0A55" w:rsidRPr="00754052" w:rsidRDefault="002D0A55" w:rsidP="00257E83">
      <w:pPr>
        <w:tabs>
          <w:tab w:val="left" w:pos="0"/>
        </w:tabs>
        <w:ind w:left="71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5267D" w:rsidRPr="00754052" w:rsidRDefault="00D5267D" w:rsidP="00257E83">
      <w:pPr>
        <w:tabs>
          <w:tab w:val="left" w:pos="0"/>
        </w:tabs>
        <w:ind w:left="71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54052">
        <w:rPr>
          <w:rFonts w:ascii="Arial" w:hAnsi="Arial" w:cs="Arial"/>
          <w:b/>
          <w:color w:val="000000"/>
          <w:sz w:val="24"/>
          <w:szCs w:val="24"/>
        </w:rPr>
        <w:lastRenderedPageBreak/>
        <w:t>QUADRO DOS INSTRUMENTOS DA POLÍTICA, ORGANIZAÇÃO E RESULTADOS DE GESTÃO NO PJERJ</w:t>
      </w:r>
    </w:p>
    <w:p w:rsidR="00D5267D" w:rsidRPr="00754052" w:rsidRDefault="00D5267D" w:rsidP="00D5267D">
      <w:pPr>
        <w:tabs>
          <w:tab w:val="left" w:pos="0"/>
        </w:tabs>
        <w:spacing w:line="360" w:lineRule="auto"/>
        <w:jc w:val="center"/>
        <w:rPr>
          <w:rFonts w:cs="Arial"/>
          <w:b/>
          <w:color w:val="000000"/>
          <w:sz w:val="16"/>
          <w:szCs w:val="16"/>
        </w:rPr>
      </w:pPr>
    </w:p>
    <w:tbl>
      <w:tblPr>
        <w:tblW w:w="14153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8"/>
        <w:gridCol w:w="9355"/>
      </w:tblGrid>
      <w:tr w:rsidR="00D5267D" w:rsidRPr="00754052" w:rsidTr="0022491F">
        <w:trPr>
          <w:trHeight w:val="532"/>
          <w:tblHeader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5267D" w:rsidRPr="00754052" w:rsidRDefault="00D5267D" w:rsidP="00D5267D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754052">
              <w:rPr>
                <w:rFonts w:ascii="Arial" w:hAnsi="Arial" w:cs="Arial"/>
                <w:b/>
                <w:color w:val="000000"/>
              </w:rPr>
              <w:t>TIPOS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5267D" w:rsidRPr="00754052" w:rsidRDefault="00D5267D" w:rsidP="00D5267D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754052">
              <w:rPr>
                <w:rFonts w:ascii="Arial" w:hAnsi="Arial" w:cs="Arial"/>
                <w:color w:val="000000"/>
              </w:rPr>
              <w:t>FINALIDADE</w:t>
            </w:r>
          </w:p>
        </w:tc>
      </w:tr>
      <w:tr w:rsidR="00072EB9" w:rsidRPr="00754052" w:rsidTr="00B93C4C">
        <w:trPr>
          <w:trHeight w:val="1134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072EB9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PLANO DIRETOR DE GESTÃO</w:t>
            </w:r>
            <w:r w:rsidR="003765A4"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(PDG)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072EB9">
            <w:pPr>
              <w:pStyle w:val="ArtigosTJERJ"/>
              <w:numPr>
                <w:ilvl w:val="0"/>
                <w:numId w:val="0"/>
              </w:numPr>
              <w:tabs>
                <w:tab w:val="left" w:pos="0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754052">
              <w:rPr>
                <w:rFonts w:cs="Arial"/>
                <w:color w:val="000000"/>
                <w:sz w:val="18"/>
                <w:szCs w:val="18"/>
              </w:rPr>
              <w:t xml:space="preserve">É o instrumento pelo qual se estabelece os princípios e </w:t>
            </w:r>
            <w:r w:rsidR="00A246AA" w:rsidRPr="00754052">
              <w:rPr>
                <w:rFonts w:cs="Arial"/>
                <w:color w:val="000000"/>
                <w:sz w:val="18"/>
                <w:szCs w:val="18"/>
              </w:rPr>
              <w:t xml:space="preserve">as </w:t>
            </w:r>
            <w:r w:rsidRPr="00754052">
              <w:rPr>
                <w:rFonts w:cs="Arial"/>
                <w:color w:val="000000"/>
                <w:sz w:val="18"/>
                <w:szCs w:val="18"/>
              </w:rPr>
              <w:t>diretrizes globais formalmente expressas pela Administração Superior</w:t>
            </w:r>
            <w:r w:rsidR="00A246AA" w:rsidRPr="00754052">
              <w:rPr>
                <w:rFonts w:cs="Arial"/>
                <w:color w:val="000000"/>
                <w:sz w:val="18"/>
                <w:szCs w:val="18"/>
              </w:rPr>
              <w:t xml:space="preserve">, além de </w:t>
            </w:r>
            <w:r w:rsidRPr="00754052">
              <w:rPr>
                <w:rFonts w:cs="Arial"/>
                <w:color w:val="000000"/>
                <w:sz w:val="18"/>
                <w:szCs w:val="18"/>
              </w:rPr>
              <w:t>fornece</w:t>
            </w:r>
            <w:r w:rsidR="00A246AA" w:rsidRPr="00754052">
              <w:rPr>
                <w:rFonts w:cs="Arial"/>
                <w:color w:val="000000"/>
                <w:sz w:val="18"/>
                <w:szCs w:val="18"/>
              </w:rPr>
              <w:t>r</w:t>
            </w:r>
            <w:r w:rsidRPr="0075405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A246AA" w:rsidRPr="00754052">
              <w:rPr>
                <w:rFonts w:cs="Arial"/>
                <w:color w:val="000000"/>
                <w:sz w:val="18"/>
                <w:szCs w:val="18"/>
              </w:rPr>
              <w:t>a</w:t>
            </w:r>
            <w:r w:rsidRPr="00754052">
              <w:rPr>
                <w:rFonts w:cs="Arial"/>
                <w:color w:val="000000"/>
                <w:sz w:val="18"/>
                <w:szCs w:val="18"/>
              </w:rPr>
              <w:t xml:space="preserve"> estrutura</w:t>
            </w:r>
            <w:r w:rsidR="00A246AA" w:rsidRPr="00754052">
              <w:rPr>
                <w:rFonts w:cs="Arial"/>
                <w:color w:val="000000"/>
                <w:sz w:val="18"/>
                <w:szCs w:val="18"/>
              </w:rPr>
              <w:t xml:space="preserve"> necessária</w:t>
            </w:r>
            <w:r w:rsidRPr="00754052">
              <w:rPr>
                <w:rFonts w:cs="Arial"/>
                <w:color w:val="000000"/>
                <w:sz w:val="18"/>
                <w:szCs w:val="18"/>
              </w:rPr>
              <w:t xml:space="preserve"> para que se</w:t>
            </w:r>
            <w:r w:rsidR="00A246AA" w:rsidRPr="00754052">
              <w:rPr>
                <w:rFonts w:cs="Arial"/>
                <w:color w:val="000000"/>
                <w:sz w:val="18"/>
                <w:szCs w:val="18"/>
              </w:rPr>
              <w:t xml:space="preserve"> estabeleçam</w:t>
            </w:r>
            <w:r w:rsidRPr="00754052">
              <w:rPr>
                <w:rFonts w:cs="Arial"/>
                <w:color w:val="000000"/>
                <w:sz w:val="18"/>
                <w:szCs w:val="18"/>
              </w:rPr>
              <w:t xml:space="preserve"> os esforços da gestão estratégica e da gestão operacional do PJERJ.</w:t>
            </w:r>
          </w:p>
          <w:p w:rsidR="00072EB9" w:rsidRPr="00754052" w:rsidRDefault="00072EB9" w:rsidP="00072EB9">
            <w:pPr>
              <w:pStyle w:val="ArtigosTJERJ"/>
              <w:numPr>
                <w:ilvl w:val="0"/>
                <w:numId w:val="0"/>
              </w:numPr>
              <w:tabs>
                <w:tab w:val="left" w:pos="0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754052">
              <w:rPr>
                <w:rFonts w:cs="Arial"/>
                <w:b/>
                <w:color w:val="000000"/>
                <w:sz w:val="18"/>
                <w:szCs w:val="18"/>
              </w:rPr>
              <w:t>Órgão Emissor no PJERJ:</w:t>
            </w:r>
            <w:r w:rsidRPr="00754052">
              <w:rPr>
                <w:rFonts w:cs="Arial"/>
                <w:color w:val="000000"/>
                <w:sz w:val="18"/>
                <w:szCs w:val="18"/>
              </w:rPr>
              <w:t xml:space="preserve"> Presidente do Tribunal de Justiça</w:t>
            </w:r>
          </w:p>
        </w:tc>
      </w:tr>
      <w:tr w:rsidR="00072EB9" w:rsidRPr="00754052" w:rsidTr="00B93C4C">
        <w:trPr>
          <w:trHeight w:val="1136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072EB9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PLANO ESTRATÉGICO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072EB9">
            <w:pPr>
              <w:pStyle w:val="ArtigosTJERJ"/>
              <w:numPr>
                <w:ilvl w:val="0"/>
                <w:numId w:val="0"/>
              </w:numPr>
              <w:tabs>
                <w:tab w:val="left" w:pos="0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754052">
              <w:rPr>
                <w:rFonts w:cs="Arial"/>
                <w:color w:val="000000"/>
                <w:sz w:val="18"/>
                <w:szCs w:val="18"/>
              </w:rPr>
              <w:t xml:space="preserve">Documento vinculado ao Plano Diretor de Gestão </w:t>
            </w:r>
            <w:r w:rsidR="00EC30A6" w:rsidRPr="00754052">
              <w:rPr>
                <w:rFonts w:cs="Arial"/>
                <w:color w:val="000000"/>
                <w:sz w:val="18"/>
                <w:szCs w:val="18"/>
              </w:rPr>
              <w:t xml:space="preserve">cuja </w:t>
            </w:r>
            <w:r w:rsidRPr="00754052">
              <w:rPr>
                <w:rFonts w:cs="Arial"/>
                <w:color w:val="000000"/>
                <w:sz w:val="18"/>
                <w:szCs w:val="18"/>
              </w:rPr>
              <w:t xml:space="preserve">finalidade </w:t>
            </w:r>
            <w:r w:rsidR="00EC30A6" w:rsidRPr="00754052">
              <w:rPr>
                <w:rFonts w:cs="Arial"/>
                <w:color w:val="000000"/>
                <w:sz w:val="18"/>
                <w:szCs w:val="18"/>
              </w:rPr>
              <w:t xml:space="preserve">é a de </w:t>
            </w:r>
            <w:r w:rsidRPr="00754052">
              <w:rPr>
                <w:rFonts w:cs="Arial"/>
                <w:color w:val="000000"/>
                <w:sz w:val="18"/>
                <w:szCs w:val="18"/>
              </w:rPr>
              <w:t xml:space="preserve">revisar e estabelecer a estrutura da </w:t>
            </w:r>
            <w:r w:rsidR="00A62391" w:rsidRPr="00754052">
              <w:rPr>
                <w:rFonts w:cs="Arial"/>
                <w:color w:val="000000"/>
                <w:sz w:val="18"/>
                <w:szCs w:val="18"/>
              </w:rPr>
              <w:t>g</w:t>
            </w:r>
            <w:r w:rsidRPr="00754052">
              <w:rPr>
                <w:rFonts w:cs="Arial"/>
                <w:color w:val="000000"/>
                <w:sz w:val="18"/>
                <w:szCs w:val="18"/>
              </w:rPr>
              <w:t xml:space="preserve">estão </w:t>
            </w:r>
            <w:r w:rsidR="00A62391" w:rsidRPr="00754052">
              <w:rPr>
                <w:rFonts w:cs="Arial"/>
                <w:color w:val="000000"/>
                <w:sz w:val="18"/>
                <w:szCs w:val="18"/>
              </w:rPr>
              <w:t>e</w:t>
            </w:r>
            <w:r w:rsidRPr="00754052">
              <w:rPr>
                <w:rFonts w:cs="Arial"/>
                <w:color w:val="000000"/>
                <w:sz w:val="18"/>
                <w:szCs w:val="18"/>
              </w:rPr>
              <w:t xml:space="preserve">stratégica do PJERJ, alinhada à estratégia geral do Conselho Nacional de Justiça (CNJ), sem </w:t>
            </w:r>
            <w:r w:rsidR="00EC30A6" w:rsidRPr="00754052">
              <w:rPr>
                <w:rFonts w:cs="Arial"/>
                <w:color w:val="000000"/>
                <w:sz w:val="18"/>
                <w:szCs w:val="18"/>
              </w:rPr>
              <w:t>prejuízo da</w:t>
            </w:r>
            <w:r w:rsidRPr="00754052">
              <w:rPr>
                <w:rFonts w:cs="Arial"/>
                <w:color w:val="000000"/>
                <w:sz w:val="18"/>
                <w:szCs w:val="18"/>
              </w:rPr>
              <w:t xml:space="preserve"> necessidade de </w:t>
            </w:r>
            <w:r w:rsidR="00EC30A6" w:rsidRPr="00754052">
              <w:rPr>
                <w:rFonts w:cs="Arial"/>
                <w:color w:val="000000"/>
                <w:sz w:val="18"/>
                <w:szCs w:val="18"/>
              </w:rPr>
              <w:t>considerar</w:t>
            </w:r>
            <w:r w:rsidRPr="00754052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="007E0C5D" w:rsidRPr="00754052">
              <w:rPr>
                <w:rFonts w:cs="Arial"/>
                <w:color w:val="000000"/>
                <w:sz w:val="18"/>
                <w:szCs w:val="18"/>
              </w:rPr>
              <w:t>em</w:t>
            </w:r>
            <w:r w:rsidRPr="00754052">
              <w:rPr>
                <w:rFonts w:cs="Arial"/>
                <w:color w:val="000000"/>
                <w:sz w:val="18"/>
                <w:szCs w:val="18"/>
              </w:rPr>
              <w:t xml:space="preserve"> seus aspectos concretos, a realidade pertinente ao Judiciário </w:t>
            </w:r>
            <w:r w:rsidR="00EC30A6" w:rsidRPr="00754052">
              <w:rPr>
                <w:rFonts w:cs="Arial"/>
                <w:color w:val="000000"/>
                <w:sz w:val="18"/>
                <w:szCs w:val="18"/>
              </w:rPr>
              <w:t>f</w:t>
            </w:r>
            <w:r w:rsidRPr="00754052">
              <w:rPr>
                <w:rFonts w:cs="Arial"/>
                <w:color w:val="000000"/>
                <w:sz w:val="18"/>
                <w:szCs w:val="18"/>
              </w:rPr>
              <w:t>luminense.</w:t>
            </w:r>
          </w:p>
          <w:p w:rsidR="00072EB9" w:rsidRPr="00754052" w:rsidRDefault="00072EB9" w:rsidP="00072EB9">
            <w:pPr>
              <w:pStyle w:val="ArtigosTJERJ"/>
              <w:numPr>
                <w:ilvl w:val="0"/>
                <w:numId w:val="0"/>
              </w:numPr>
              <w:tabs>
                <w:tab w:val="left" w:pos="0"/>
              </w:tabs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754052">
              <w:rPr>
                <w:rFonts w:cs="Arial"/>
                <w:b/>
                <w:color w:val="000000"/>
                <w:sz w:val="18"/>
                <w:szCs w:val="18"/>
              </w:rPr>
              <w:t>Órgão Emissor no PJERJ:</w:t>
            </w:r>
            <w:r w:rsidRPr="00754052">
              <w:rPr>
                <w:rFonts w:cs="Arial"/>
                <w:color w:val="000000"/>
                <w:sz w:val="18"/>
                <w:szCs w:val="18"/>
              </w:rPr>
              <w:t xml:space="preserve"> Presidente do Tribunal de Justiça</w:t>
            </w:r>
          </w:p>
        </w:tc>
      </w:tr>
      <w:tr w:rsidR="00072EB9" w:rsidRPr="00754052" w:rsidTr="00B93C4C">
        <w:trPr>
          <w:trHeight w:val="986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072EB9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>RELATÓRIO DE INFORMAÇÕES GERENCIAIS (RIGER) DO PJERJ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072EB9">
            <w:pPr>
              <w:tabs>
                <w:tab w:val="left" w:pos="0"/>
              </w:tabs>
              <w:spacing w:before="40"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É o instrumento </w:t>
            </w:r>
            <w:r w:rsidR="00A246AA" w:rsidRPr="00754052">
              <w:rPr>
                <w:rFonts w:ascii="Arial" w:hAnsi="Arial" w:cs="Arial"/>
                <w:color w:val="000000"/>
                <w:sz w:val="18"/>
                <w:szCs w:val="18"/>
              </w:rPr>
              <w:t>por meio do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qual se consolida a análise de dados e melhorias contínuas das unidades judiciais e administrativas no âmbito do Poder Judiciário do Estado do Rio de Janeiro.</w:t>
            </w:r>
          </w:p>
          <w:p w:rsidR="00072EB9" w:rsidRPr="00754052" w:rsidRDefault="00072EB9" w:rsidP="00072EB9">
            <w:pPr>
              <w:tabs>
                <w:tab w:val="left" w:pos="0"/>
              </w:tabs>
              <w:spacing w:before="40"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>Órgão Emissor no PJERJ: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 xml:space="preserve"> Presidente do Tribunal de Justiça</w:t>
            </w:r>
          </w:p>
        </w:tc>
      </w:tr>
      <w:tr w:rsidR="00072EB9" w:rsidRPr="00754052" w:rsidTr="0022491F">
        <w:trPr>
          <w:trHeight w:val="984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072EB9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>RELATÓRIO DE INFORMAÇÕES GERENCIAIS (RIGER) EXTRAORDINÁRIO EXTERNO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072EB9">
            <w:pPr>
              <w:tabs>
                <w:tab w:val="left" w:pos="0"/>
              </w:tabs>
              <w:spacing w:before="40"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É o documento que consolida a análise de dados e melhorias contínuas do PJERJ, com o fim específico de atender a solicitações formuladas por entidades ou órgãos externos ao PJERJ.</w:t>
            </w:r>
          </w:p>
        </w:tc>
      </w:tr>
      <w:tr w:rsidR="00072EB9" w:rsidRPr="00754052" w:rsidTr="00B93C4C">
        <w:trPr>
          <w:trHeight w:val="972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072EB9">
            <w:pPr>
              <w:tabs>
                <w:tab w:val="left" w:pos="0"/>
              </w:tabs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RELATÓRIO DE INFORMAÇÕES GERENCIAIS (RIGER) EXTRAORDINÁRIO </w:t>
            </w:r>
            <w:r w:rsidR="00CD1AF6"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>INTERNO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072EB9">
            <w:pPr>
              <w:tabs>
                <w:tab w:val="left" w:pos="0"/>
              </w:tabs>
              <w:spacing w:before="40"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É o documento que consolida a análise de dados e melhorias contínuas do PJERJ, destinado ao atendimento de eventuais demandas ou necessidades internas do PJERJ.</w:t>
            </w:r>
          </w:p>
        </w:tc>
      </w:tr>
      <w:tr w:rsidR="00072EB9" w:rsidRPr="00754052" w:rsidTr="00B93C4C">
        <w:trPr>
          <w:trHeight w:val="986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072EB9">
            <w:pPr>
              <w:tabs>
                <w:tab w:val="left" w:pos="0"/>
              </w:tabs>
              <w:spacing w:beforeLines="60" w:before="144" w:afterLines="60" w:after="144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b/>
                <w:color w:val="000000"/>
                <w:sz w:val="18"/>
                <w:szCs w:val="18"/>
              </w:rPr>
              <w:t>RELATÓRIO DE INFORMAÇÕES GERENCIAIS (RIGER) SETORIAL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EB9" w:rsidRPr="00754052" w:rsidRDefault="00072EB9" w:rsidP="00072EB9">
            <w:pPr>
              <w:tabs>
                <w:tab w:val="left" w:pos="0"/>
              </w:tabs>
              <w:spacing w:before="40"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É o documento que consolida a análise de dados e melhorias contínuas de unidades organizacionais executoras da Administração Superior.</w:t>
            </w:r>
          </w:p>
          <w:p w:rsidR="00072EB9" w:rsidRPr="00754052" w:rsidRDefault="00072EB9" w:rsidP="00B23895">
            <w:pPr>
              <w:tabs>
                <w:tab w:val="left" w:pos="0"/>
              </w:tabs>
              <w:spacing w:before="40" w:after="4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A emissão e a aprovação des</w:t>
            </w:r>
            <w:r w:rsidR="00B23895" w:rsidRPr="00754052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754052">
              <w:rPr>
                <w:rFonts w:ascii="Arial" w:hAnsi="Arial" w:cs="Arial"/>
                <w:color w:val="000000"/>
                <w:sz w:val="18"/>
                <w:szCs w:val="18"/>
              </w:rPr>
              <w:t>es RIGER estão estabelecidas na RAD-PJERJ-007.</w:t>
            </w:r>
          </w:p>
        </w:tc>
      </w:tr>
    </w:tbl>
    <w:p w:rsidR="00D5267D" w:rsidRPr="00754052" w:rsidRDefault="00D5267D" w:rsidP="00D5267D">
      <w:pPr>
        <w:tabs>
          <w:tab w:val="left" w:pos="0"/>
        </w:tabs>
        <w:spacing w:line="360" w:lineRule="auto"/>
        <w:rPr>
          <w:noProof/>
          <w:color w:val="000000"/>
        </w:rPr>
      </w:pPr>
    </w:p>
    <w:sectPr w:rsidR="00D5267D" w:rsidRPr="00754052" w:rsidSect="007540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902" w:bottom="567" w:left="1418" w:header="113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BC6" w:rsidRDefault="000A2BC6">
      <w:r>
        <w:separator/>
      </w:r>
    </w:p>
  </w:endnote>
  <w:endnote w:type="continuationSeparator" w:id="0">
    <w:p w:rsidR="000A2BC6" w:rsidRDefault="000A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F0E" w:rsidRDefault="001A2F0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F0E" w:rsidRDefault="001A2F0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F0E" w:rsidRDefault="001A2F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BC6" w:rsidRDefault="000A2BC6">
      <w:r>
        <w:separator/>
      </w:r>
    </w:p>
  </w:footnote>
  <w:footnote w:type="continuationSeparator" w:id="0">
    <w:p w:rsidR="000A2BC6" w:rsidRDefault="000A2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F0E" w:rsidRDefault="001A2F0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1A2F0E" w:rsidRDefault="001A2F0E">
    <w:pPr>
      <w:pStyle w:val="Cabealho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AB4BBB" w:rsidRDefault="00AB4BBB" w:rsidP="00257E83">
    <w:pPr>
      <w:pStyle w:val="Cabealho"/>
      <w:tabs>
        <w:tab w:val="clear" w:pos="4419"/>
        <w:tab w:val="clear" w:pos="8838"/>
        <w:tab w:val="left" w:pos="148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F0E" w:rsidRDefault="001A2F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BCB"/>
    <w:multiLevelType w:val="multilevel"/>
    <w:tmpl w:val="321A5BD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0C1F4524"/>
    <w:multiLevelType w:val="multilevel"/>
    <w:tmpl w:val="D296637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1D660F91"/>
    <w:multiLevelType w:val="multilevel"/>
    <w:tmpl w:val="B816CC3E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color w:val="auto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2B63270E"/>
    <w:multiLevelType w:val="hybridMultilevel"/>
    <w:tmpl w:val="54F6D454"/>
    <w:lvl w:ilvl="0" w:tplc="CCAA3342">
      <w:start w:val="1"/>
      <w:numFmt w:val="lowerLetter"/>
      <w:pStyle w:val="MarcadorTexto2TJERJ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 w:tplc="4A5AC82E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12EA0F9C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36081C78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66A4FC4E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C102133A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15B089AC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2A848516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3A08AD10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5517173C"/>
    <w:multiLevelType w:val="multilevel"/>
    <w:tmpl w:val="321A5BD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5D0300D7"/>
    <w:multiLevelType w:val="multilevel"/>
    <w:tmpl w:val="321A5BD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74757D8D"/>
    <w:multiLevelType w:val="hybridMultilevel"/>
    <w:tmpl w:val="4FAE35BA"/>
    <w:lvl w:ilvl="0" w:tplc="218AF568">
      <w:start w:val="1"/>
      <w:numFmt w:val="decimal"/>
      <w:pStyle w:val="ArtigosTJERJ"/>
      <w:lvlText w:val="Art. %1"/>
      <w:lvlJc w:val="left"/>
      <w:pPr>
        <w:tabs>
          <w:tab w:val="num" w:pos="4605"/>
        </w:tabs>
        <w:ind w:left="2805"/>
      </w:pPr>
      <w:rPr>
        <w:rFonts w:ascii="Times New Roman" w:hAnsi="Times New Roman" w:cs="Times New Roman" w:hint="default"/>
        <w:b/>
        <w:i w:val="0"/>
        <w:sz w:val="30"/>
      </w:rPr>
    </w:lvl>
    <w:lvl w:ilvl="1" w:tplc="6BF284FE">
      <w:start w:val="1"/>
      <w:numFmt w:val="upperRoman"/>
      <w:lvlText w:val="%2. - "/>
      <w:lvlJc w:val="left"/>
      <w:pPr>
        <w:tabs>
          <w:tab w:val="num" w:pos="-4820"/>
        </w:tabs>
        <w:ind w:left="-5540" w:hanging="360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4820"/>
        </w:tabs>
        <w:ind w:left="-48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-4100"/>
        </w:tabs>
        <w:ind w:left="-4100" w:hanging="360"/>
      </w:pPr>
      <w:rPr>
        <w:rFonts w:cs="Times New Roman"/>
      </w:rPr>
    </w:lvl>
    <w:lvl w:ilvl="4" w:tplc="CA362C8C">
      <w:start w:val="1"/>
      <w:numFmt w:val="upperRoman"/>
      <w:pStyle w:val="IncisoTJERJ"/>
      <w:lvlText w:val="%5 - "/>
      <w:lvlJc w:val="left"/>
      <w:pPr>
        <w:tabs>
          <w:tab w:val="num" w:pos="-2660"/>
        </w:tabs>
        <w:ind w:left="-3740"/>
      </w:pPr>
      <w:rPr>
        <w:rFonts w:cs="Times New Roman" w:hint="default"/>
      </w:rPr>
    </w:lvl>
    <w:lvl w:ilvl="5" w:tplc="B170BB0A">
      <w:start w:val="1"/>
      <w:numFmt w:val="lowerLetter"/>
      <w:lvlText w:val="%6)"/>
      <w:lvlJc w:val="left"/>
      <w:pPr>
        <w:tabs>
          <w:tab w:val="num" w:pos="-3380"/>
        </w:tabs>
        <w:ind w:left="-3740"/>
      </w:pPr>
      <w:rPr>
        <w:rFonts w:cs="Times New Roman" w:hint="default"/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-1940"/>
        </w:tabs>
        <w:ind w:left="-19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-1220"/>
        </w:tabs>
        <w:ind w:left="-12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-500"/>
        </w:tabs>
        <w:ind w:left="-50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B55"/>
    <w:rsid w:val="0001069D"/>
    <w:rsid w:val="00014C08"/>
    <w:rsid w:val="00030CC0"/>
    <w:rsid w:val="000532F3"/>
    <w:rsid w:val="00072EB9"/>
    <w:rsid w:val="00075D61"/>
    <w:rsid w:val="00090B88"/>
    <w:rsid w:val="00090C7A"/>
    <w:rsid w:val="000A1C13"/>
    <w:rsid w:val="000A2BC6"/>
    <w:rsid w:val="000B32A7"/>
    <w:rsid w:val="000C1799"/>
    <w:rsid w:val="000C694A"/>
    <w:rsid w:val="000D7B61"/>
    <w:rsid w:val="000E50B4"/>
    <w:rsid w:val="000E596D"/>
    <w:rsid w:val="000E7674"/>
    <w:rsid w:val="000E7E20"/>
    <w:rsid w:val="001025BD"/>
    <w:rsid w:val="0011278F"/>
    <w:rsid w:val="001232C8"/>
    <w:rsid w:val="00123B8A"/>
    <w:rsid w:val="00142075"/>
    <w:rsid w:val="00154B63"/>
    <w:rsid w:val="001559D3"/>
    <w:rsid w:val="00161607"/>
    <w:rsid w:val="00167BC1"/>
    <w:rsid w:val="00172767"/>
    <w:rsid w:val="001801D3"/>
    <w:rsid w:val="00180B7C"/>
    <w:rsid w:val="001A2F0E"/>
    <w:rsid w:val="001A7E21"/>
    <w:rsid w:val="001D3EA3"/>
    <w:rsid w:val="001D4927"/>
    <w:rsid w:val="001F5432"/>
    <w:rsid w:val="0020654E"/>
    <w:rsid w:val="00207B38"/>
    <w:rsid w:val="00212369"/>
    <w:rsid w:val="00212B6D"/>
    <w:rsid w:val="0022254B"/>
    <w:rsid w:val="0022491F"/>
    <w:rsid w:val="00244E8E"/>
    <w:rsid w:val="00257E83"/>
    <w:rsid w:val="00261107"/>
    <w:rsid w:val="002658B0"/>
    <w:rsid w:val="002859C3"/>
    <w:rsid w:val="002940B9"/>
    <w:rsid w:val="00295A5A"/>
    <w:rsid w:val="002A2F6D"/>
    <w:rsid w:val="002A6BFA"/>
    <w:rsid w:val="002B79A8"/>
    <w:rsid w:val="002C69C7"/>
    <w:rsid w:val="002D0A55"/>
    <w:rsid w:val="002D1890"/>
    <w:rsid w:val="00333CBB"/>
    <w:rsid w:val="00334DC2"/>
    <w:rsid w:val="00345A24"/>
    <w:rsid w:val="003504B4"/>
    <w:rsid w:val="003659E1"/>
    <w:rsid w:val="003754C4"/>
    <w:rsid w:val="003765A4"/>
    <w:rsid w:val="003814F4"/>
    <w:rsid w:val="003A55AB"/>
    <w:rsid w:val="003A6C0D"/>
    <w:rsid w:val="003B1B6C"/>
    <w:rsid w:val="003E5683"/>
    <w:rsid w:val="003F411C"/>
    <w:rsid w:val="00407B00"/>
    <w:rsid w:val="00411105"/>
    <w:rsid w:val="004121AF"/>
    <w:rsid w:val="00417B55"/>
    <w:rsid w:val="00422FED"/>
    <w:rsid w:val="00424663"/>
    <w:rsid w:val="00425F70"/>
    <w:rsid w:val="00445E67"/>
    <w:rsid w:val="00455252"/>
    <w:rsid w:val="00462F3B"/>
    <w:rsid w:val="00471438"/>
    <w:rsid w:val="004B5FD7"/>
    <w:rsid w:val="004D1F4F"/>
    <w:rsid w:val="005015C3"/>
    <w:rsid w:val="00537F71"/>
    <w:rsid w:val="00543AE3"/>
    <w:rsid w:val="005605BE"/>
    <w:rsid w:val="00567EA6"/>
    <w:rsid w:val="00592532"/>
    <w:rsid w:val="005969E4"/>
    <w:rsid w:val="005A7F7C"/>
    <w:rsid w:val="005C29C5"/>
    <w:rsid w:val="005C5AFC"/>
    <w:rsid w:val="005C62CA"/>
    <w:rsid w:val="005D09AF"/>
    <w:rsid w:val="005D107D"/>
    <w:rsid w:val="005D3560"/>
    <w:rsid w:val="005D5187"/>
    <w:rsid w:val="005E0B4F"/>
    <w:rsid w:val="005E6930"/>
    <w:rsid w:val="005E7784"/>
    <w:rsid w:val="00610B0E"/>
    <w:rsid w:val="00646734"/>
    <w:rsid w:val="00651863"/>
    <w:rsid w:val="0065587E"/>
    <w:rsid w:val="00662B36"/>
    <w:rsid w:val="00686A3D"/>
    <w:rsid w:val="00695B26"/>
    <w:rsid w:val="006A7AFE"/>
    <w:rsid w:val="006F4B86"/>
    <w:rsid w:val="00710C68"/>
    <w:rsid w:val="00732BE7"/>
    <w:rsid w:val="00741E46"/>
    <w:rsid w:val="00746CB8"/>
    <w:rsid w:val="00754052"/>
    <w:rsid w:val="00763EA3"/>
    <w:rsid w:val="00776602"/>
    <w:rsid w:val="007A4039"/>
    <w:rsid w:val="007B3B39"/>
    <w:rsid w:val="007B565C"/>
    <w:rsid w:val="007D3047"/>
    <w:rsid w:val="007E0C5D"/>
    <w:rsid w:val="007E0F6E"/>
    <w:rsid w:val="007E127E"/>
    <w:rsid w:val="007E5036"/>
    <w:rsid w:val="007E5909"/>
    <w:rsid w:val="007F5F9D"/>
    <w:rsid w:val="00855CFD"/>
    <w:rsid w:val="00862E39"/>
    <w:rsid w:val="008842E1"/>
    <w:rsid w:val="008852F5"/>
    <w:rsid w:val="00886960"/>
    <w:rsid w:val="008B448E"/>
    <w:rsid w:val="008C2A02"/>
    <w:rsid w:val="008C2BE6"/>
    <w:rsid w:val="008D1CEE"/>
    <w:rsid w:val="008D30AE"/>
    <w:rsid w:val="008E1333"/>
    <w:rsid w:val="008F412F"/>
    <w:rsid w:val="009146E2"/>
    <w:rsid w:val="009200F6"/>
    <w:rsid w:val="00931021"/>
    <w:rsid w:val="0094236A"/>
    <w:rsid w:val="00954179"/>
    <w:rsid w:val="00957EE1"/>
    <w:rsid w:val="009722CB"/>
    <w:rsid w:val="00976CC8"/>
    <w:rsid w:val="009926D3"/>
    <w:rsid w:val="009B250E"/>
    <w:rsid w:val="009B572D"/>
    <w:rsid w:val="009C076B"/>
    <w:rsid w:val="009C121F"/>
    <w:rsid w:val="009C4359"/>
    <w:rsid w:val="009C480F"/>
    <w:rsid w:val="009F1E10"/>
    <w:rsid w:val="00A16331"/>
    <w:rsid w:val="00A246AA"/>
    <w:rsid w:val="00A270E7"/>
    <w:rsid w:val="00A30539"/>
    <w:rsid w:val="00A33DAA"/>
    <w:rsid w:val="00A366F1"/>
    <w:rsid w:val="00A60AEF"/>
    <w:rsid w:val="00A62391"/>
    <w:rsid w:val="00A673F5"/>
    <w:rsid w:val="00A8663D"/>
    <w:rsid w:val="00A90DE6"/>
    <w:rsid w:val="00AA362E"/>
    <w:rsid w:val="00AB0495"/>
    <w:rsid w:val="00AB11CA"/>
    <w:rsid w:val="00AB4BBB"/>
    <w:rsid w:val="00AD1145"/>
    <w:rsid w:val="00AF5700"/>
    <w:rsid w:val="00B20578"/>
    <w:rsid w:val="00B23895"/>
    <w:rsid w:val="00B774F2"/>
    <w:rsid w:val="00B93C4C"/>
    <w:rsid w:val="00BA50B0"/>
    <w:rsid w:val="00BC53C4"/>
    <w:rsid w:val="00BE514A"/>
    <w:rsid w:val="00BF28B1"/>
    <w:rsid w:val="00C03762"/>
    <w:rsid w:val="00C132D4"/>
    <w:rsid w:val="00C23FC0"/>
    <w:rsid w:val="00C357A1"/>
    <w:rsid w:val="00C41492"/>
    <w:rsid w:val="00C42ADF"/>
    <w:rsid w:val="00C63202"/>
    <w:rsid w:val="00C7076A"/>
    <w:rsid w:val="00C84DBB"/>
    <w:rsid w:val="00CB4BAB"/>
    <w:rsid w:val="00CD1AF6"/>
    <w:rsid w:val="00CD72A7"/>
    <w:rsid w:val="00CF7CF7"/>
    <w:rsid w:val="00D00451"/>
    <w:rsid w:val="00D00DB4"/>
    <w:rsid w:val="00D3414F"/>
    <w:rsid w:val="00D36C4B"/>
    <w:rsid w:val="00D5267D"/>
    <w:rsid w:val="00D85A03"/>
    <w:rsid w:val="00D950B7"/>
    <w:rsid w:val="00DA7781"/>
    <w:rsid w:val="00DC7579"/>
    <w:rsid w:val="00E07B3D"/>
    <w:rsid w:val="00E468F3"/>
    <w:rsid w:val="00E57CFB"/>
    <w:rsid w:val="00E628CD"/>
    <w:rsid w:val="00EA468B"/>
    <w:rsid w:val="00EC2A6F"/>
    <w:rsid w:val="00EC30A6"/>
    <w:rsid w:val="00EC41CD"/>
    <w:rsid w:val="00EC757E"/>
    <w:rsid w:val="00F172F8"/>
    <w:rsid w:val="00F3527E"/>
    <w:rsid w:val="00F40DE9"/>
    <w:rsid w:val="00F41CA7"/>
    <w:rsid w:val="00F41E71"/>
    <w:rsid w:val="00F520EB"/>
    <w:rsid w:val="00F52C1D"/>
    <w:rsid w:val="00F57DBE"/>
    <w:rsid w:val="00F605EF"/>
    <w:rsid w:val="00F64747"/>
    <w:rsid w:val="00F856C6"/>
    <w:rsid w:val="00F9096C"/>
    <w:rsid w:val="00F9670C"/>
    <w:rsid w:val="00F9759E"/>
    <w:rsid w:val="00FA189B"/>
    <w:rsid w:val="00FB1D9F"/>
    <w:rsid w:val="00FC3F27"/>
    <w:rsid w:val="00FC5C16"/>
    <w:rsid w:val="00FC64C9"/>
    <w:rsid w:val="00FE0135"/>
    <w:rsid w:val="00FE150A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7B55"/>
  </w:style>
  <w:style w:type="paragraph" w:styleId="Ttulo1">
    <w:name w:val="heading 1"/>
    <w:aliases w:val="TJERJ"/>
    <w:basedOn w:val="Normal"/>
    <w:next w:val="Normal"/>
    <w:link w:val="Ttulo1Char"/>
    <w:qFormat/>
    <w:rsid w:val="00C23FC0"/>
    <w:pPr>
      <w:numPr>
        <w:numId w:val="1"/>
      </w:numPr>
      <w:spacing w:before="480"/>
      <w:jc w:val="both"/>
      <w:outlineLvl w:val="0"/>
    </w:pPr>
    <w:rPr>
      <w:rFonts w:ascii="Arial" w:hAnsi="Arial"/>
      <w:b/>
      <w:caps/>
      <w:kern w:val="28"/>
      <w:sz w:val="24"/>
    </w:rPr>
  </w:style>
  <w:style w:type="paragraph" w:styleId="Ttulo2">
    <w:name w:val="heading 2"/>
    <w:aliases w:val="TJERJ2"/>
    <w:basedOn w:val="Normal"/>
    <w:qFormat/>
    <w:rsid w:val="00C23FC0"/>
    <w:pPr>
      <w:numPr>
        <w:ilvl w:val="1"/>
        <w:numId w:val="1"/>
      </w:numPr>
      <w:spacing w:before="240"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aliases w:val="TJERJ3"/>
    <w:basedOn w:val="Ttulo2"/>
    <w:qFormat/>
    <w:rsid w:val="00C23FC0"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"/>
    <w:basedOn w:val="Ttulo3"/>
    <w:qFormat/>
    <w:rsid w:val="00C23FC0"/>
    <w:pPr>
      <w:numPr>
        <w:ilvl w:val="3"/>
      </w:numPr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17B5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417B55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17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C23FC0"/>
    <w:pPr>
      <w:tabs>
        <w:tab w:val="center" w:pos="4252"/>
        <w:tab w:val="right" w:pos="8504"/>
      </w:tabs>
    </w:pPr>
  </w:style>
  <w:style w:type="paragraph" w:customStyle="1" w:styleId="MarcadorTexto2TJERJ">
    <w:name w:val="MarcadorTexto2TJERJ"/>
    <w:basedOn w:val="Normal"/>
    <w:rsid w:val="00C23FC0"/>
    <w:pPr>
      <w:numPr>
        <w:numId w:val="2"/>
      </w:numPr>
      <w:spacing w:before="240" w:line="360" w:lineRule="auto"/>
      <w:jc w:val="both"/>
    </w:pPr>
    <w:rPr>
      <w:rFonts w:ascii="Arial" w:hAnsi="Arial"/>
      <w:bCs/>
      <w:noProof/>
      <w:sz w:val="24"/>
    </w:rPr>
  </w:style>
  <w:style w:type="character" w:customStyle="1" w:styleId="Ttulo1Char">
    <w:name w:val="Título 1 Char"/>
    <w:aliases w:val="TJERJ Char"/>
    <w:link w:val="Ttulo1"/>
    <w:locked/>
    <w:rsid w:val="00C23FC0"/>
    <w:rPr>
      <w:rFonts w:ascii="Arial" w:hAnsi="Arial"/>
      <w:b/>
      <w:caps/>
      <w:kern w:val="28"/>
      <w:sz w:val="24"/>
    </w:rPr>
  </w:style>
  <w:style w:type="paragraph" w:styleId="Recuodecorpodetexto">
    <w:name w:val="Body Text Indent"/>
    <w:basedOn w:val="Normal"/>
    <w:rsid w:val="00C23FC0"/>
    <w:pPr>
      <w:spacing w:line="360" w:lineRule="auto"/>
      <w:ind w:left="741"/>
      <w:jc w:val="both"/>
    </w:pPr>
    <w:rPr>
      <w:rFonts w:ascii="Arial" w:hAnsi="Arial"/>
      <w:sz w:val="24"/>
      <w:szCs w:val="24"/>
    </w:rPr>
  </w:style>
  <w:style w:type="paragraph" w:customStyle="1" w:styleId="ArtigosTJERJ">
    <w:name w:val="Artigos TJERJ"/>
    <w:basedOn w:val="Normal"/>
    <w:rsid w:val="00C23FC0"/>
    <w:pPr>
      <w:numPr>
        <w:numId w:val="7"/>
      </w:numPr>
      <w:tabs>
        <w:tab w:val="left" w:pos="4320"/>
      </w:tabs>
      <w:spacing w:before="360"/>
      <w:jc w:val="both"/>
    </w:pPr>
    <w:rPr>
      <w:rFonts w:ascii="Arial" w:hAnsi="Arial"/>
      <w:bCs/>
      <w:sz w:val="30"/>
      <w:szCs w:val="24"/>
    </w:rPr>
  </w:style>
  <w:style w:type="paragraph" w:customStyle="1" w:styleId="IncisoTJERJ">
    <w:name w:val="Inciso TJERJ"/>
    <w:basedOn w:val="Normal"/>
    <w:rsid w:val="00C23FC0"/>
    <w:pPr>
      <w:numPr>
        <w:ilvl w:val="4"/>
        <w:numId w:val="7"/>
      </w:numPr>
      <w:spacing w:before="120"/>
      <w:ind w:firstLine="2880"/>
      <w:jc w:val="both"/>
    </w:pPr>
    <w:rPr>
      <w:rFonts w:ascii="Arial" w:hAnsi="Arial"/>
      <w:bCs/>
      <w:sz w:val="30"/>
      <w:szCs w:val="24"/>
    </w:rPr>
  </w:style>
  <w:style w:type="paragraph" w:customStyle="1" w:styleId="ConsiderandoTJERJDRI">
    <w:name w:val="Considerando TJERJ DRI"/>
    <w:basedOn w:val="Normal"/>
    <w:rsid w:val="00C23FC0"/>
    <w:pPr>
      <w:spacing w:before="360"/>
      <w:ind w:firstLine="2880"/>
      <w:jc w:val="both"/>
    </w:pPr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rsid w:val="001616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6160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locked/>
    <w:rsid w:val="00C41492"/>
  </w:style>
  <w:style w:type="character" w:styleId="Forte">
    <w:name w:val="Strong"/>
    <w:qFormat/>
    <w:rsid w:val="00CD72A7"/>
    <w:rPr>
      <w:b/>
      <w:bCs/>
    </w:rPr>
  </w:style>
  <w:style w:type="character" w:customStyle="1" w:styleId="RodapChar">
    <w:name w:val="Rodapé Char"/>
    <w:link w:val="Rodap"/>
    <w:uiPriority w:val="99"/>
    <w:rsid w:val="00754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52CA3-E492-4B3E-892A-B95AFBEF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1964</Words>
  <Characters>10608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DGTEC-DEPRO</Company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PJERJ</dc:creator>
  <cp:lastModifiedBy>Cristina Maria Pedro</cp:lastModifiedBy>
  <cp:revision>3</cp:revision>
  <cp:lastPrinted>2014-04-07T11:52:00Z</cp:lastPrinted>
  <dcterms:created xsi:type="dcterms:W3CDTF">2014-04-07T11:49:00Z</dcterms:created>
  <dcterms:modified xsi:type="dcterms:W3CDTF">2014-04-07T11:55:00Z</dcterms:modified>
</cp:coreProperties>
</file>