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BE" w:rsidRPr="003C5FBE" w:rsidRDefault="003C5FBE" w:rsidP="003C5FBE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 w:rsidRPr="003C5FBE"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>Comarca da Capital – 1ª Vara Criminal</w:t>
      </w:r>
    </w:p>
    <w:p w:rsidR="003C5FBE" w:rsidRPr="003C5FBE" w:rsidRDefault="003C5FBE" w:rsidP="003C5FBE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3C5FBE"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Juiz: </w:t>
      </w:r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Fabio Uchoa Pinto de Miranda Montenegro</w:t>
      </w:r>
    </w:p>
    <w:p w:rsidR="003C5FBE" w:rsidRPr="003C5FBE" w:rsidRDefault="003C5FBE" w:rsidP="003C5FBE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3C5FBE"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>Processo nº: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  <w:hyperlink r:id="rId5" w:history="1">
        <w:r w:rsidRPr="003C5FBE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0496603-82.2011.8.19.0001</w:t>
        </w:r>
      </w:hyperlink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</w:p>
    <w:p w:rsidR="003C5FBE" w:rsidRPr="003C5FBE" w:rsidRDefault="003C5FBE" w:rsidP="003C5FBE">
      <w:pPr>
        <w:spacing w:before="100" w:beforeAutospacing="1" w:after="150" w:line="240" w:lineRule="auto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3C5FBE" w:rsidRDefault="003C5FBE" w:rsidP="003C5FBE">
      <w:pPr>
        <w:shd w:val="clear" w:color="auto" w:fill="D9D9D9" w:themeFill="background1" w:themeFillShade="D9"/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Processo nº 0496603-82.2011.8.19.0001 Acusado: João Antonio Gomes de Castro S E N T E N Ç A Vistos, etc. JOÃO ANTONIO GOMES DE CASTRO foi pronunciado como incurso no Art. 121 § 2º inc. </w:t>
      </w:r>
      <w:r w:rsidRPr="003C5FBE">
        <w:rPr>
          <w:rFonts w:ascii="Arial" w:eastAsia="Times New Roman" w:hAnsi="Arial" w:cs="Arial"/>
          <w:color w:val="344852"/>
          <w:sz w:val="17"/>
          <w:szCs w:val="17"/>
          <w:lang w:val="en-US" w:eastAsia="pt-BR"/>
        </w:rPr>
        <w:t xml:space="preserve">I n/f Art. 29 e Art. 121 § 2º inc. I c/c Art. 14 inc. </w:t>
      </w:r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II n/f Art. 29, todos do Código Penal. Foram submetidas à apreciação do E. Conselho de Jurados duas séries de quesitos, cada uma relativa a cada um dos crimes imputados ao réu. Relativamente ao crime de homicídio praticado contra a vítima Anderson de Souza Oliveira ¿ primeira série de quesitos. Submetido a julgamento, o E. Conselho de Sentença, por maioria de votos, respondeu afirmativamente ao primeiro quesito, reconhecendo, que no dia 03 de outubro de 2011, por volta das </w:t>
      </w:r>
      <w:proofErr w:type="gramStart"/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23:30</w:t>
      </w:r>
      <w:proofErr w:type="gramEnd"/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horas, na Praça Dolomitas, Vila Kennedy, foram efetuados disparos de arma de fogo contra Anderson de Souza Oliveira, causando-lhe as lesões descritas no AEC de fls. 53/54. O E. Corpo de Jurados, por maioria de votos, respondeu afirmativamente ao segundo quesito, reconhecendo, desse modo, que o acusado concorreu para o crime. Indagado aos senhores jurados se absolviam o réu, por maioria de votos responderam negativamente a esse terceiro quesito. Finalmente, o E. Corpo de Jurados, por maioria de votos, respondeu afirmativamente ao quarto quesito, reconhecendo, assim, que o crime foi praticado por motivo torpe. Relativamente ao crime de homicídio praticado contra a vítima Jonas Hygino Gomes ¿ segunda série de quesitos. Submetido a julgamento, o E. Conselho de Sentença, por maioria de votos, respondeu afirmativamente ao primeiro quesito, reconhecendo, que no dia 03 de outubro de 2011, por volta das </w:t>
      </w:r>
      <w:proofErr w:type="gramStart"/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23:30</w:t>
      </w:r>
      <w:proofErr w:type="gramEnd"/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horas, na Praça Dolomitas, Vila Kennedy, foram efetuados disparos de arma de fogo contra Jonas Hygino Gomes, causando-lhe as lesões descritas no BAM de fls. 337/338. O E. Corpo de Jurados, por maioria de votos, respondeu negativamente ao segundo quesito, afastando, assim, que o acusado tenha concorrido para esse crime, ficando prejudicados os demais quesitos dessa série. Com efeito, o E. Conselho de Sentença absolveu o réu do crime de homicídio tentado contra a vítima Jonas (Art. 121 § 2º inc. I c/c Art. 14 inc. II n/f Art. 29, todos do CP), entretanto, reconheceu que o acusado praticou o crime de homicídio contra a vítima Anderson, capitulado no Art. 121 § 2º inc. I n/f Art. 29, ambos do Código Penal. Assim, atento às diretrizes do Art. 68 do Código Penal </w:t>
      </w:r>
      <w:proofErr w:type="gramStart"/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passo</w:t>
      </w:r>
      <w:proofErr w:type="gramEnd"/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 dosar e a individualizar as penas a serem impostas ao Réu. Atento às circunstâncias do Art. 59 do Código Penal</w:t>
      </w:r>
      <w:proofErr w:type="gramStart"/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observa-se</w:t>
      </w:r>
      <w:proofErr w:type="gramEnd"/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que o réu agiu com intensa culpabilidade, na medida em que determinou que os executores invadissem a Vila Kennedy de moto e executassem a vítima, numa engendrada operação criminosa, envolvendo a disputa pelo domínio do tráfico de drogas na região. As circunstâncias em que o crime ocorreu também são desfavoráveis para o acusado, pois a vítima foi morta no meio da rua, com diversos disparos, numa verdadeira execução. A personalidade do acusado também se mostra voltada para a prática criminosa, eis que é apontado como participante de uma facção criminosa cujos membros praticam inúmeros crimes gravíssimos e </w:t>
      </w:r>
      <w:proofErr w:type="gramStart"/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na </w:t>
      </w:r>
      <w:proofErr w:type="spellStart"/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na</w:t>
      </w:r>
      <w:proofErr w:type="spellEnd"/>
      <w:proofErr w:type="gramEnd"/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qual o acusado exercia uma função de chefia e nessa data em Plenário, declarou já ter sido condenado por formação de quadrilha. Finalmente, observa-se que as consequências do crime também são desfavoráveis para o réu, pois a vítima era um jovem que lutava para não continuar na vida criminosa e que teve a vida abruptamente interrompida, deixando seus familiares condoídos e traumatizados com sua violenta perda, como se observou nessa data, através </w:t>
      </w:r>
      <w:proofErr w:type="gramStart"/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da doloridas</w:t>
      </w:r>
      <w:proofErr w:type="gramEnd"/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declarações prestadas por sua mãe, circunstâncias que importam numa maior reprovabilidade do atuar do Réu, razões pelas quais fixo a pena base privativa de liberdade em 22 (vinte de dois) anos de reclusão, eis que suficiente e necessária para a reprovação e prevenção do crime. Inexistem atenuantes ou agravantes a serem consideradas e na ausência de qualquer causa legal de aumento ou de diminuição, torno a pena base definitiva. O regime inicial para o cumprimento da pena deverá ser o fechado, nos termos do Art. 33 § 2º ¿a¿ do Código Penal, observando, ainda, que as circunstâncias que foram consideradas para a fixação da pena base já seriam suficientes para recomendar a imposição de um regime prisional mais rigoroso. </w:t>
      </w:r>
      <w:proofErr w:type="gramStart"/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ISTO POSTO</w:t>
      </w:r>
      <w:proofErr w:type="gramEnd"/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e considerando a decisão do E. Conselho de Sentença</w:t>
      </w:r>
      <w:proofErr w:type="gramStart"/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julgo</w:t>
      </w:r>
      <w:proofErr w:type="gramEnd"/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PROCEDENTE EM PARTE o pedido deduzido na denúncia para: a) ABSOLVER o Réu JOÃO ANTÔNIO GOMES DE CASTRO do crime capitulado no Art. 121 § 2º inc. I c/c Art. 14 inc. II n/f Art. 29, ambos do Código Penal, relativamente à vítima Jonas Hygido Gomes e; b) CONDENAR o Réu JOÃO ANTÔNIO GOMES DE CASTRO, qualificado nos autos, como incurso no Art. 121 § 2º inc. I n/f Art. 29, ambos do Código Penal, à pena privativa de liberdade total de 22 (vinte e dois) anos de reclusão, a ser cumprida inicialmente em regime FECHADO. Condeno o Réu, ainda, ao pagamento das custas processuais e da taxa judiciária, consoante o disposto no Art. 804 do Código de Processo Penal. O Réu responde ao processo recolhido ao cárcere, permanecendo íntegros e inalterados os motivos que justificaram a decretação e a manutenção de sua prisão até a presente data, o que afasta a possibilidade de recorrer em liberdade. Recomende-se o Réu na prisão em que se </w:t>
      </w:r>
      <w:proofErr w:type="gramStart"/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encontra,</w:t>
      </w:r>
      <w:proofErr w:type="gramEnd"/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nos termos do Art. 393 I do Código de Processo Penal. Expeça-se Carta de Execução Provisória, nos termos da Resolução nº 19, de 29/08/2006, do Conselho Nacional de Justiça c/c Art. 6º da Resolução nº 19, de 22/06/2010 do E. Tribunal de Justiça do Estado do Rio de Janeiro. Transitada em julgado </w:t>
      </w:r>
      <w:proofErr w:type="gramStart"/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 presente</w:t>
      </w:r>
      <w:proofErr w:type="gramEnd"/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lance-se o nome do Réu no rol dos culpados, fazendo-se as demais anotações e comunicações pertinentes, expeçam-se as respectivas Cartas de Sentença, nos termos do Art. 105 da LEP e, após, arquive-se, observando-se as demais formalidades legais. Publicada esta em Plenário às </w:t>
      </w:r>
      <w:proofErr w:type="gramStart"/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21:00</w:t>
      </w:r>
      <w:proofErr w:type="gramEnd"/>
      <w:r w:rsidRPr="003C5FBE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horas e intimados os presentes, registre-se. Sala das Sessões, 14 de fevereiro de 2014. </w:t>
      </w:r>
    </w:p>
    <w:p w:rsidR="003C5FBE" w:rsidRPr="003C5FBE" w:rsidRDefault="003C5FBE" w:rsidP="003C5FBE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Obs: Sentença disponibilizada pelo Sistema DCP e captada da intranet pela DGCOM-DECCO em data de 30.07.2014</w:t>
      </w:r>
    </w:p>
    <w:p w:rsidR="00FA33D5" w:rsidRDefault="00FA33D5" w:rsidP="00EC2571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bookmarkStart w:id="0" w:name="_GoBack"/>
      <w:bookmarkEnd w:id="0"/>
    </w:p>
    <w:sectPr w:rsidR="00FA33D5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191E1C"/>
    <w:rsid w:val="00307776"/>
    <w:rsid w:val="003C5FBE"/>
    <w:rsid w:val="00433634"/>
    <w:rsid w:val="0059343F"/>
    <w:rsid w:val="00651BAB"/>
    <w:rsid w:val="0069455B"/>
    <w:rsid w:val="00817213"/>
    <w:rsid w:val="008870E4"/>
    <w:rsid w:val="008C56E4"/>
    <w:rsid w:val="00C1182D"/>
    <w:rsid w:val="00D4009C"/>
    <w:rsid w:val="00EC2571"/>
    <w:rsid w:val="00F53071"/>
    <w:rsid w:val="00F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982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802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1.001.438013-9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2014-07-30T20:40:00Z</dcterms:created>
  <dcterms:modified xsi:type="dcterms:W3CDTF">2014-07-30T20:40:00Z</dcterms:modified>
</cp:coreProperties>
</file>