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F3" w:rsidRPr="00DB64F3" w:rsidRDefault="00DB64F3" w:rsidP="00DB64F3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DB64F3">
        <w:rPr>
          <w:rFonts w:ascii="Arial" w:eastAsia="Times New Roman" w:hAnsi="Arial" w:cs="Arial"/>
          <w:b/>
          <w:sz w:val="17"/>
          <w:szCs w:val="17"/>
          <w:lang w:eastAsia="pt-BR"/>
        </w:rPr>
        <w:t>Comarca de Campos de Goytacazes – 2ª Vara Cível</w:t>
      </w:r>
    </w:p>
    <w:p w:rsidR="00DB64F3" w:rsidRPr="00DB64F3" w:rsidRDefault="00DB64F3" w:rsidP="00DB64F3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DB64F3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DB64F3">
        <w:rPr>
          <w:rFonts w:ascii="Arial" w:eastAsia="Times New Roman" w:hAnsi="Arial" w:cs="Arial"/>
          <w:sz w:val="17"/>
          <w:szCs w:val="17"/>
          <w:lang w:eastAsia="pt-BR"/>
        </w:rPr>
        <w:t>Felipe Pinelli Pedalino Costa</w:t>
      </w:r>
    </w:p>
    <w:p w:rsidR="009365CC" w:rsidRPr="009365CC" w:rsidRDefault="00DB64F3" w:rsidP="00DB64F3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DB64F3">
        <w:rPr>
          <w:rFonts w:ascii="Arial" w:eastAsia="Times New Roman" w:hAnsi="Arial" w:cs="Arial"/>
          <w:b/>
          <w:sz w:val="17"/>
          <w:szCs w:val="17"/>
          <w:lang w:eastAsia="pt-BR"/>
        </w:rPr>
        <w:t>Processo n:</w:t>
      </w:r>
      <w:r w:rsidRPr="00DB64F3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hyperlink r:id="rId5" w:history="1">
        <w:r w:rsidR="009365CC" w:rsidRPr="00DB64F3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0039746-08.2012.8.19.0014</w:t>
        </w:r>
      </w:hyperlink>
      <w:r w:rsidR="009365CC"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9365CC" w:rsidRPr="009365CC" w:rsidRDefault="009365CC" w:rsidP="009365C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9365CC" w:rsidRDefault="009365CC" w:rsidP="00DB64F3">
      <w:pPr>
        <w:shd w:val="clear" w:color="auto" w:fill="F2F2F2" w:themeFill="background1" w:themeFillShade="F2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Ricardo Lopes Siqueira propôs ação de conhecimento em face do Município de Campos dos Goytacazes, na qual pediu o reconhecimento do direito à isenção de IPTU e a condenação do réu à obrigação de não fazer, para que se abstenha de cobrar o aludido imposto e o inscreva na dívida ativa. Para tanto afirmou, em síntese, que, conforme o Código Tributário Municipal</w:t>
      </w:r>
      <w:proofErr w:type="gramStart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está</w:t>
      </w:r>
      <w:proofErr w:type="gramEnd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isento do imposto sobre a propriedade predial e territorial urbana, na medida em que possui um único imóvel residencial, que utiliza como moradia e sua renda familiar não ultrapassa três salários mínimos. Acrescentou que o Município réu, não obstante a isenção e a conclusão do processo administrativo, o notificou para o pagamento do </w:t>
      </w:r>
      <w:proofErr w:type="gramStart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IPTU .</w:t>
      </w:r>
      <w:proofErr w:type="gramEnd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Com a inicial foram juntados documentos. Decisão, à fl. 29, deferindo a gratuidade de justiça ao autor, designando data para audiência de conciliação e determinando a citação do réu. Regularmente citado, o Município réu ofereceu a contestação de fls. 41/44, onde alegou que, segundo norma municipal, a isenção do IPTU é condicionada ao requerimento anual do interessado. Aduziu que o autor não procedeu ao devido requerimento, razão pela qual decaiu seu direito. Por fim, propugnou pela improcedência dos pedidos contidos na peça vestibular. Com a contestação foram juntados documentos. Assentada da audiência de conciliação à fl. 107. Decisão de saneamento do processo à fl. 113. Alegações finais das partes às fls. </w:t>
      </w:r>
      <w:proofErr w:type="gramStart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114V</w:t>
      </w:r>
      <w:proofErr w:type="gramEnd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° e 115/117. É o relatório. Fundamento e Decido. Sabe-se que toda isenção fiscal é espécie de exclusão do crédito tributário e deve ser concedida por lei, à luz do que dispõem os artigos 175, I e 176 do CTN. No caso em apreço, a isenção tributária encontra-se prevista no artigo 108, VII, do Código Tributário Municipal e na lei 8.127/09, alterada pela lei 8.259/11. Pois bem, a norma municipal exige requerimento do interessado junto à Secretaria Municipal de Finanças até o dia 30/06 de cada exercício. O cerne da questão reside em saber se o caráter da aludida isenção é geral ou específico. Isto porque, se se entender como genérica</w:t>
      </w:r>
      <w:proofErr w:type="gramStart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bastaria</w:t>
      </w:r>
      <w:proofErr w:type="gramEnd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comprovação abstrata dos requisitos objetivos para o seu reconhecimento, ao passo que a específica exige a comprovação casuística. Sucede que, nesta hipótese, verifica-se que se trata de isenção específica, porquanto dirigida àqueles que possuam renda familiar inferior a </w:t>
      </w:r>
      <w:proofErr w:type="gramStart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3</w:t>
      </w:r>
      <w:proofErr w:type="gramEnd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salários mínimos e propriedade de apenas um imóvel residencial, situações fáticas que, por óbvio, podem ser transitórias e modificar com o decorrer do tempo, exigindo-se a renovação de sua respectiva demonstração. Tem-se que a exigência de prévio requerimento administrativo do interessado está em consonância com o que dispõe o artigo 179 do CTN. Por certo, o contribuinte deverá provar junto à entidade tributante que sua renda familiar, de cada exercício pleiteado, é inferior ao patamar legal, bem como que não houve alteração de seu patrimônio com novas aquisições de imóveis. O autor juntou aos </w:t>
      </w:r>
      <w:proofErr w:type="gramStart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autos comprovante de sua hipossuficiência econômica (fls. 10 e 12) e o registro imobiliário</w:t>
      </w:r>
      <w:proofErr w:type="gramEnd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mas não o requerimento administrativo, tampouco eventual indeferimento. </w:t>
      </w:r>
      <w:proofErr w:type="gramStart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Isto posto</w:t>
      </w:r>
      <w:proofErr w:type="gramEnd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julgo improcedente os pedidos contidos na petição inicial com apreciação do mérito, na forma do artigo 269, inciso I, do Código de Processo Civil. Condeno a parte autora ao pagamento de custas processuais e honorários advocatícios, que fixo em R$ 500,00 (quinhentos reais), conforme artigo 20, parágrafo 4º, do Código de Processo Civil, aplicando-lhe, contudo, o artigo 12 da Lei 1060/50, em razão da gratuidade de justiça que lhe foi deferida. PRI. Com o trânsito em julgado e cumpridas </w:t>
      </w:r>
      <w:proofErr w:type="gramStart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as formalidades legais, dê-se</w:t>
      </w:r>
      <w:proofErr w:type="gramEnd"/>
      <w:r w:rsidRPr="009365C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baixa e arquivem-se os autos. </w:t>
      </w:r>
    </w:p>
    <w:p w:rsidR="00DB64F3" w:rsidRPr="009365CC" w:rsidRDefault="00CB0157" w:rsidP="009365CC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proofErr w:type="spellStart"/>
      <w:r w:rsidRPr="00CB015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</w:t>
      </w:r>
      <w:proofErr w:type="spellEnd"/>
      <w:r w:rsidRPr="00CB015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: Sentença disponibilizada pelo Sistema DCP e captada da intranet pelo Serviço de Captação e Estruturação do Conhecimento (DGCOM/DECCO) em data 2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5</w:t>
      </w:r>
      <w:bookmarkStart w:id="0" w:name="_GoBack"/>
      <w:bookmarkEnd w:id="0"/>
      <w:r w:rsidRPr="00CB0157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.08.2014 e divulgada no Banco do Conhecimento.</w:t>
      </w:r>
    </w:p>
    <w:p w:rsidR="00596E8A" w:rsidRPr="00F029BE" w:rsidRDefault="00596E8A" w:rsidP="00F029BE"/>
    <w:sectPr w:rsidR="00596E8A" w:rsidRPr="00F029BE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174D32"/>
    <w:rsid w:val="00191E1C"/>
    <w:rsid w:val="002115D2"/>
    <w:rsid w:val="002E73FE"/>
    <w:rsid w:val="00307776"/>
    <w:rsid w:val="00357876"/>
    <w:rsid w:val="00433634"/>
    <w:rsid w:val="004C61B9"/>
    <w:rsid w:val="004E232F"/>
    <w:rsid w:val="005529CD"/>
    <w:rsid w:val="0059343F"/>
    <w:rsid w:val="00596E8A"/>
    <w:rsid w:val="005D18CF"/>
    <w:rsid w:val="005D23AA"/>
    <w:rsid w:val="00651BAB"/>
    <w:rsid w:val="0069392F"/>
    <w:rsid w:val="0069455B"/>
    <w:rsid w:val="006B215D"/>
    <w:rsid w:val="00817213"/>
    <w:rsid w:val="00834FB8"/>
    <w:rsid w:val="008870E4"/>
    <w:rsid w:val="008B1509"/>
    <w:rsid w:val="008C56E4"/>
    <w:rsid w:val="009365CC"/>
    <w:rsid w:val="00A60C36"/>
    <w:rsid w:val="00A76244"/>
    <w:rsid w:val="00AD19E6"/>
    <w:rsid w:val="00B116EA"/>
    <w:rsid w:val="00B44182"/>
    <w:rsid w:val="00C1182D"/>
    <w:rsid w:val="00CB0157"/>
    <w:rsid w:val="00CC1074"/>
    <w:rsid w:val="00CE2BB2"/>
    <w:rsid w:val="00D4009C"/>
    <w:rsid w:val="00DB64F3"/>
    <w:rsid w:val="00EC2571"/>
    <w:rsid w:val="00F029BE"/>
    <w:rsid w:val="00F53071"/>
    <w:rsid w:val="00FA33D5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05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35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2.014.038865-1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Leda Ceris Alves e Silva</cp:lastModifiedBy>
  <cp:revision>3</cp:revision>
  <dcterms:created xsi:type="dcterms:W3CDTF">2014-08-25T20:53:00Z</dcterms:created>
  <dcterms:modified xsi:type="dcterms:W3CDTF">2014-08-27T15:28:00Z</dcterms:modified>
</cp:coreProperties>
</file>